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CE" w:rsidRPr="00D30744" w:rsidRDefault="008348CE" w:rsidP="008F7E23">
      <w:pPr>
        <w:pStyle w:val="NoSpacing"/>
        <w:jc w:val="center"/>
        <w:rPr>
          <w:rFonts w:ascii="Times New Roman" w:hAnsi="Times New Roman"/>
          <w:sz w:val="24"/>
          <w:szCs w:val="24"/>
        </w:rPr>
      </w:pPr>
      <w:r w:rsidRPr="00D30744">
        <w:rPr>
          <w:rFonts w:ascii="Times New Roman" w:hAnsi="Times New Roman"/>
          <w:b/>
          <w:bCs/>
          <w:sz w:val="24"/>
          <w:szCs w:val="24"/>
        </w:rPr>
        <w:t>З А Я В А</w:t>
      </w:r>
      <w:r w:rsidRPr="00D30744">
        <w:rPr>
          <w:rFonts w:ascii="Times New Roman" w:hAnsi="Times New Roman"/>
          <w:sz w:val="24"/>
          <w:szCs w:val="24"/>
        </w:rPr>
        <w:br/>
      </w:r>
      <w:r w:rsidRPr="00D30744">
        <w:rPr>
          <w:rFonts w:ascii="Times New Roman" w:hAnsi="Times New Roman"/>
          <w:bCs/>
          <w:sz w:val="24"/>
          <w:szCs w:val="24"/>
        </w:rPr>
        <w:t>ПРО ВИЗНАЧЕННЯ ОБСЯГУ СТРАТЕГІЧНОЇ ЕКОЛОГІЧНОЇ ОЦІНКИ</w:t>
      </w:r>
      <w:r w:rsidRPr="00D30744">
        <w:rPr>
          <w:rFonts w:ascii="Times New Roman" w:hAnsi="Times New Roman"/>
          <w:sz w:val="24"/>
          <w:szCs w:val="24"/>
        </w:rPr>
        <w:t xml:space="preserve"> </w:t>
      </w:r>
    </w:p>
    <w:p w:rsidR="008348CE" w:rsidRPr="00D30744" w:rsidRDefault="008348CE" w:rsidP="008F7E23">
      <w:pPr>
        <w:pStyle w:val="NoSpacing"/>
        <w:jc w:val="center"/>
        <w:rPr>
          <w:rFonts w:ascii="Times New Roman" w:hAnsi="Times New Roman"/>
          <w:sz w:val="24"/>
          <w:szCs w:val="24"/>
        </w:rPr>
      </w:pPr>
      <w:r w:rsidRPr="00D30744">
        <w:rPr>
          <w:rFonts w:ascii="Times New Roman" w:hAnsi="Times New Roman"/>
          <w:sz w:val="24"/>
          <w:szCs w:val="24"/>
        </w:rPr>
        <w:t>до ДПТ</w:t>
      </w:r>
    </w:p>
    <w:p w:rsidR="008348CE" w:rsidRPr="00D30744" w:rsidRDefault="008348CE" w:rsidP="003D616D">
      <w:pPr>
        <w:pStyle w:val="NormalWeb"/>
        <w:shd w:val="clear" w:color="auto" w:fill="F5F5F5"/>
        <w:spacing w:after="0"/>
        <w:jc w:val="center"/>
        <w:rPr>
          <w:b/>
        </w:rPr>
      </w:pPr>
      <w:r w:rsidRPr="00D30744">
        <w:rPr>
          <w:b/>
        </w:rPr>
        <w:t>«Розміщення будівель та споруд сільськогосподарського призначення для виноградарства та виноробства фермерського господарства  «ФЕЧОРА ФЕМІЛІ ВАЙНЕРІ», розташованого на території Берегівської міської ради, за межами населеного пункту»</w:t>
      </w:r>
    </w:p>
    <w:p w:rsidR="008348CE" w:rsidRPr="00D30744" w:rsidRDefault="008348CE" w:rsidP="00595D14">
      <w:pPr>
        <w:spacing w:after="0" w:line="240" w:lineRule="auto"/>
        <w:jc w:val="both"/>
        <w:rPr>
          <w:rFonts w:ascii="Times New Roman" w:hAnsi="Times New Roman"/>
          <w:sz w:val="24"/>
          <w:szCs w:val="24"/>
        </w:rPr>
      </w:pPr>
      <w:r w:rsidRPr="00D30744">
        <w:rPr>
          <w:rFonts w:ascii="Times New Roman" w:hAnsi="Times New Roman"/>
          <w:b/>
          <w:sz w:val="24"/>
          <w:szCs w:val="24"/>
        </w:rPr>
        <w:tab/>
        <w:t>1.Замовник:</w:t>
      </w:r>
      <w:r w:rsidRPr="00D30744">
        <w:rPr>
          <w:rFonts w:ascii="Times New Roman" w:hAnsi="Times New Roman"/>
          <w:sz w:val="24"/>
          <w:szCs w:val="24"/>
        </w:rPr>
        <w:t xml:space="preserve"> Берегівська районна державна адміністрація</w:t>
      </w:r>
    </w:p>
    <w:p w:rsidR="008348CE" w:rsidRPr="00D30744" w:rsidRDefault="008348CE" w:rsidP="00595D14">
      <w:pPr>
        <w:spacing w:after="0" w:line="240" w:lineRule="auto"/>
        <w:jc w:val="both"/>
        <w:rPr>
          <w:rFonts w:ascii="Times New Roman" w:hAnsi="Times New Roman"/>
          <w:sz w:val="24"/>
          <w:szCs w:val="24"/>
        </w:rPr>
      </w:pPr>
      <w:r w:rsidRPr="00D30744">
        <w:rPr>
          <w:rFonts w:ascii="Times New Roman" w:hAnsi="Times New Roman"/>
          <w:sz w:val="24"/>
          <w:szCs w:val="24"/>
        </w:rPr>
        <w:t xml:space="preserve">Адреса: 90200, Закарпатська область, місто Берегове, вулиця Мукачівська, 6, </w:t>
      </w:r>
    </w:p>
    <w:p w:rsidR="008348CE" w:rsidRPr="00D30744" w:rsidRDefault="008348CE" w:rsidP="00595D14">
      <w:pPr>
        <w:spacing w:after="0" w:line="240" w:lineRule="auto"/>
        <w:jc w:val="both"/>
        <w:rPr>
          <w:color w:val="333333"/>
          <w:sz w:val="24"/>
          <w:szCs w:val="24"/>
        </w:rPr>
      </w:pPr>
      <w:r w:rsidRPr="00D30744">
        <w:rPr>
          <w:rFonts w:ascii="Times New Roman" w:hAnsi="Times New Roman"/>
          <w:sz w:val="24"/>
          <w:szCs w:val="24"/>
        </w:rPr>
        <w:t xml:space="preserve">Е-mail: </w:t>
      </w:r>
      <w:hyperlink r:id="rId5" w:history="1">
        <w:r w:rsidRPr="00233414">
          <w:rPr>
            <w:rStyle w:val="Hyperlink"/>
            <w:rFonts w:ascii="Times New Roman" w:hAnsi="Times New Roman"/>
            <w:sz w:val="24"/>
            <w:szCs w:val="24"/>
          </w:rPr>
          <w:t>admin.bereg-rda@carpathia.gov.ua</w:t>
        </w:r>
      </w:hyperlink>
      <w:r w:rsidRPr="008E09A5">
        <w:rPr>
          <w:rFonts w:ascii="Times New Roman" w:hAnsi="Times New Roman"/>
          <w:color w:val="FF0000"/>
          <w:sz w:val="24"/>
          <w:szCs w:val="24"/>
        </w:rPr>
        <w:t>.</w:t>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b/>
          <w:sz w:val="24"/>
          <w:szCs w:val="24"/>
        </w:rPr>
        <w:tab/>
        <w:t>2. Вид та основні цілі документа державного планування:</w:t>
      </w:r>
    </w:p>
    <w:p w:rsidR="008348CE" w:rsidRPr="00D30744" w:rsidRDefault="008348CE" w:rsidP="00D30744">
      <w:pPr>
        <w:pStyle w:val="NoSpacing"/>
        <w:jc w:val="both"/>
        <w:rPr>
          <w:rFonts w:ascii="Times New Roman" w:hAnsi="Times New Roman"/>
          <w:sz w:val="24"/>
          <w:szCs w:val="24"/>
        </w:rPr>
      </w:pPr>
      <w:r w:rsidRPr="00D30744">
        <w:tab/>
      </w:r>
      <w:r w:rsidRPr="00D30744">
        <w:rPr>
          <w:rFonts w:ascii="Times New Roman" w:hAnsi="Times New Roman"/>
        </w:rPr>
        <w:t>Детальний план території «Розміщення будівель та споруд сільськогосподарського призначення для виноградарства та виноробства фермерського господарства  «ФЕЧОРА ФЕМІЛІ ВАЙНЕРІ», розташованого на території Берегівської міської ради, за межами населеного пункту» розроблено на підставі розпорядження голови Берегівської районної державної  адміністрації  від 11.06.2020 року  № 167 та завдання на проектування. і підлягає стратегічній екологічній оцінці.</w:t>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8348CE" w:rsidRPr="00D30744" w:rsidRDefault="008348CE" w:rsidP="00A95BC8">
      <w:pPr>
        <w:pStyle w:val="NormalWeb"/>
        <w:spacing w:before="0" w:beforeAutospacing="0" w:after="0" w:afterAutospacing="0"/>
        <w:ind w:firstLine="709"/>
        <w:jc w:val="both"/>
        <w:rPr>
          <w:lang w:val="ru-RU"/>
        </w:rPr>
      </w:pPr>
      <w:r w:rsidRPr="00D30744">
        <w:rPr>
          <w:lang w:val="ru-RU"/>
        </w:rPr>
        <w:t>Мета розробки детального плану території – визначення планувальної організації і функціонального призначення, параметрів забудови земельної  ділянки з кадастровим номером 2110200000:03:001:0066,</w:t>
      </w:r>
      <w:r w:rsidRPr="00D30744">
        <w:t xml:space="preserve"> </w:t>
      </w:r>
      <w:r w:rsidRPr="00D30744">
        <w:rPr>
          <w:lang w:val="ru-RU"/>
        </w:rPr>
        <w:t>цільове призначення: 01.03 «Для ведення особистого селянського господарства».</w:t>
      </w:r>
      <w:r w:rsidRPr="00D30744">
        <w:t xml:space="preserve"> </w:t>
      </w:r>
      <w:r w:rsidRPr="00D30744">
        <w:rPr>
          <w:lang w:val="ru-RU"/>
        </w:rPr>
        <w:t xml:space="preserve">Площа ділянки </w:t>
      </w:r>
      <w:smartTag w:uri="urn:schemas-microsoft-com:office:smarttags" w:element="metricconverter">
        <w:smartTagPr>
          <w:attr w:name="ProductID" w:val="0.1716 га"/>
        </w:smartTagPr>
        <w:r w:rsidRPr="00D30744">
          <w:rPr>
            <w:lang w:val="ru-RU"/>
          </w:rPr>
          <w:t>0.1716 га</w:t>
        </w:r>
      </w:smartTag>
      <w:r w:rsidRPr="00D30744">
        <w:rPr>
          <w:lang w:val="ru-RU"/>
        </w:rPr>
        <w:t>. Дана земельна ділянка знаходиться в приватній власності.</w:t>
      </w:r>
    </w:p>
    <w:p w:rsidR="008348CE" w:rsidRPr="00D30744" w:rsidRDefault="008348CE" w:rsidP="00A95BC8">
      <w:pPr>
        <w:pStyle w:val="NormalWeb"/>
        <w:spacing w:before="0" w:beforeAutospacing="0" w:after="0" w:afterAutospacing="0"/>
        <w:ind w:firstLine="708"/>
        <w:jc w:val="both"/>
      </w:pPr>
      <w:r w:rsidRPr="00D30744">
        <w:t xml:space="preserve">Детальний план охоплює територію </w:t>
      </w:r>
      <w:smartTag w:uri="urn:schemas-microsoft-com:office:smarttags" w:element="metricconverter">
        <w:smartTagPr>
          <w:attr w:name="ProductID" w:val="2,00 га"/>
        </w:smartTagPr>
        <w:r w:rsidRPr="00D30744">
          <w:t>2,00 га</w:t>
        </w:r>
      </w:smartTag>
      <w:r w:rsidRPr="00D30744">
        <w:t>. Земельна ділянка, на якій ведеться проектування  розташована за межами населеного пункту, з північно-східної сторони міста Берегове, та на заході від села Затишне.</w:t>
      </w:r>
    </w:p>
    <w:p w:rsidR="008348CE" w:rsidRPr="00D30744" w:rsidRDefault="008348CE" w:rsidP="00595D14">
      <w:pPr>
        <w:pStyle w:val="NormalWeb"/>
        <w:spacing w:before="0" w:beforeAutospacing="0" w:after="0" w:afterAutospacing="0"/>
        <w:ind w:firstLine="708"/>
        <w:jc w:val="both"/>
      </w:pPr>
      <w:r w:rsidRPr="00D30744">
        <w:t>Із сходу, заходу ділянка межує з іншими земельними ділянками для ведення особистого селянського господарства; на півночі - із землями запасу.На південному сході примикає до автошляху О070107 «Берегове-Затишне-Кідьош».</w:t>
      </w:r>
    </w:p>
    <w:p w:rsidR="008348CE" w:rsidRPr="00D30744" w:rsidRDefault="008348CE" w:rsidP="001A4034">
      <w:pPr>
        <w:pStyle w:val="NormalWeb"/>
        <w:spacing w:before="0" w:beforeAutospacing="0" w:after="0" w:afterAutospacing="0"/>
        <w:ind w:firstLine="708"/>
        <w:jc w:val="both"/>
      </w:pPr>
      <w:r w:rsidRPr="00D30744">
        <w:t>Генеральним планом м.Берегове на території розробки ДП передбачено землі с/г призначення - виноградники.</w:t>
      </w:r>
    </w:p>
    <w:p w:rsidR="008348CE" w:rsidRPr="00D30744" w:rsidRDefault="008348CE" w:rsidP="00D30744">
      <w:pPr>
        <w:pStyle w:val="NormalWeb"/>
        <w:spacing w:before="0" w:beforeAutospacing="0" w:after="240" w:afterAutospacing="0"/>
        <w:ind w:firstLine="708"/>
        <w:jc w:val="both"/>
        <w:rPr>
          <w:lang w:val="ru-RU"/>
        </w:rPr>
      </w:pPr>
      <w:r w:rsidRPr="00D30744">
        <w:t>На земельній ділянці будівлі відсутні. На півдні, нижче по рельєфу, раніше запроектовані  садові будинки.</w:t>
      </w:r>
    </w:p>
    <w:p w:rsidR="008348CE" w:rsidRPr="00D30744" w:rsidRDefault="008348CE" w:rsidP="00D30744">
      <w:pPr>
        <w:pStyle w:val="NormalWeb"/>
        <w:spacing w:before="0" w:beforeAutospacing="0" w:after="240" w:afterAutospacing="0"/>
        <w:ind w:firstLine="708"/>
        <w:jc w:val="both"/>
      </w:pPr>
      <w:r w:rsidRPr="00D30744">
        <w:t>Ділянка (територія) розробки детального плану не межує з територіями що мають природоохоронний статус, лісогосподарських зон, територій історико-культурного, природно-заповідного,  рекреаційного чи оздоровчого призначення;  не  відноситься до земель водного фонду.</w:t>
      </w:r>
    </w:p>
    <w:p w:rsidR="008348CE" w:rsidRPr="00D30744" w:rsidRDefault="008348CE" w:rsidP="001A4034">
      <w:pPr>
        <w:pStyle w:val="NormalWeb"/>
        <w:spacing w:before="0" w:beforeAutospacing="0" w:after="0" w:afterAutospacing="0"/>
        <w:ind w:firstLine="708"/>
        <w:jc w:val="both"/>
      </w:pPr>
      <w:r w:rsidRPr="00D30744">
        <w:t>Об’єкти культурної спадщини та ПЗФ на ділянці проектування відсутні.</w:t>
      </w:r>
    </w:p>
    <w:p w:rsidR="008348CE" w:rsidRPr="00D30744" w:rsidRDefault="008348CE" w:rsidP="001A4034">
      <w:pPr>
        <w:pStyle w:val="NormalWeb"/>
        <w:spacing w:before="0" w:beforeAutospacing="0" w:after="0" w:afterAutospacing="0"/>
        <w:ind w:firstLine="708"/>
        <w:jc w:val="both"/>
      </w:pPr>
      <w:r w:rsidRPr="00D30744">
        <w:t>Територія потребує комплексного благоустрою. Необхідно влаштування заїзд на проектовану земельну ділянку, мощення, озеленення та освітлення території.</w:t>
      </w:r>
    </w:p>
    <w:p w:rsidR="008348CE" w:rsidRPr="00D30744" w:rsidRDefault="008348CE" w:rsidP="001A4034">
      <w:pPr>
        <w:pStyle w:val="NormalWeb"/>
        <w:spacing w:before="0" w:beforeAutospacing="0" w:after="0" w:afterAutospacing="0"/>
        <w:ind w:firstLine="708"/>
        <w:jc w:val="both"/>
      </w:pPr>
      <w:r w:rsidRPr="00D30744">
        <w:t>На території ДПТ наявні наступні планувальні обмеження:</w:t>
      </w:r>
    </w:p>
    <w:p w:rsidR="008348CE" w:rsidRPr="00D30744" w:rsidRDefault="008348CE" w:rsidP="001A4034">
      <w:pPr>
        <w:pStyle w:val="NormalWeb"/>
        <w:spacing w:before="0" w:beforeAutospacing="0" w:after="0" w:afterAutospacing="0"/>
        <w:ind w:firstLine="708"/>
        <w:jc w:val="both"/>
      </w:pPr>
      <w:r w:rsidRPr="00D30744">
        <w:t>-межі земельної ділянки;</w:t>
      </w:r>
    </w:p>
    <w:p w:rsidR="008348CE" w:rsidRPr="00D30744" w:rsidRDefault="008348CE" w:rsidP="001A4034">
      <w:pPr>
        <w:pStyle w:val="NormalWeb"/>
        <w:spacing w:before="0" w:beforeAutospacing="0" w:after="0" w:afterAutospacing="0"/>
        <w:ind w:firstLine="708"/>
        <w:jc w:val="both"/>
      </w:pPr>
      <w:r w:rsidRPr="00D30744">
        <w:t>-червоні лінії дороги.</w:t>
      </w:r>
    </w:p>
    <w:p w:rsidR="008348CE" w:rsidRPr="00D30744" w:rsidRDefault="008348CE" w:rsidP="001A4034">
      <w:pPr>
        <w:spacing w:after="0" w:line="240" w:lineRule="auto"/>
        <w:jc w:val="both"/>
        <w:rPr>
          <w:rFonts w:ascii="Times New Roman" w:hAnsi="Times New Roman"/>
          <w:color w:val="000000"/>
          <w:sz w:val="24"/>
          <w:szCs w:val="24"/>
          <w:lang w:eastAsia="uk-UA"/>
        </w:rPr>
      </w:pPr>
    </w:p>
    <w:p w:rsidR="008348CE" w:rsidRPr="00D30744" w:rsidRDefault="008348CE" w:rsidP="001A4034">
      <w:p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Переважні види використання території:</w:t>
      </w:r>
    </w:p>
    <w:p w:rsidR="008348CE" w:rsidRPr="00D30744" w:rsidRDefault="008348CE" w:rsidP="001A4034">
      <w:pPr>
        <w:numPr>
          <w:ilvl w:val="0"/>
          <w:numId w:val="5"/>
        </w:num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будівництво та обслуговування будівель з виноробства.</w:t>
      </w:r>
    </w:p>
    <w:p w:rsidR="008348CE" w:rsidRPr="00D30744" w:rsidRDefault="008348CE" w:rsidP="001A4034">
      <w:p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Супутні види використання:</w:t>
      </w:r>
    </w:p>
    <w:p w:rsidR="008348CE" w:rsidRPr="00D30744" w:rsidRDefault="008348CE" w:rsidP="001A4034">
      <w:pPr>
        <w:numPr>
          <w:ilvl w:val="0"/>
          <w:numId w:val="5"/>
        </w:num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xml:space="preserve">будівництво інженерних мереж необхідних для  експлуатації </w:t>
      </w:r>
    </w:p>
    <w:p w:rsidR="008348CE" w:rsidRPr="00D30744" w:rsidRDefault="008348CE" w:rsidP="001A4034">
      <w:p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запланованих будівель;</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будівництво інженерно-технічних споруд.</w:t>
      </w:r>
    </w:p>
    <w:p w:rsidR="008348CE" w:rsidRPr="00D30744" w:rsidRDefault="008348CE" w:rsidP="001A4034">
      <w:p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Містобудівними умовами та обмеженнями є:</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межі земельної ділянки;</w:t>
      </w:r>
    </w:p>
    <w:p w:rsidR="008348CE" w:rsidRPr="00D30744" w:rsidRDefault="008348CE" w:rsidP="001A4034">
      <w:pPr>
        <w:numPr>
          <w:ilvl w:val="0"/>
          <w:numId w:val="4"/>
        </w:num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цільове призначення земельної ділянки;</w:t>
      </w:r>
    </w:p>
    <w:p w:rsidR="008348CE" w:rsidRPr="00D30744" w:rsidRDefault="008348CE" w:rsidP="001A4034">
      <w:pPr>
        <w:numPr>
          <w:ilvl w:val="0"/>
          <w:numId w:val="4"/>
        </w:num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санітарно-захисна зона;</w:t>
      </w:r>
    </w:p>
    <w:p w:rsidR="008348CE" w:rsidRPr="00D30744" w:rsidRDefault="008348CE" w:rsidP="001A4034">
      <w:pPr>
        <w:numPr>
          <w:ilvl w:val="0"/>
          <w:numId w:val="4"/>
        </w:numPr>
        <w:spacing w:after="0" w:line="240" w:lineRule="auto"/>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червоні лінії дороги.</w:t>
      </w:r>
    </w:p>
    <w:p w:rsidR="008348CE" w:rsidRPr="00D30744" w:rsidRDefault="008348CE" w:rsidP="001A4034">
      <w:pPr>
        <w:pStyle w:val="NormalWeb"/>
        <w:spacing w:before="0" w:beforeAutospacing="0" w:after="0" w:afterAutospacing="0"/>
        <w:ind w:firstLine="708"/>
        <w:jc w:val="both"/>
      </w:pP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val="ru-RU" w:eastAsia="uk-UA"/>
        </w:rPr>
        <w:t>На проектованій земельній ділянці</w:t>
      </w:r>
      <w:r w:rsidRPr="00D30744">
        <w:rPr>
          <w:rFonts w:ascii="Times New Roman" w:hAnsi="Times New Roman"/>
          <w:color w:val="000000"/>
          <w:sz w:val="24"/>
          <w:szCs w:val="24"/>
          <w:lang w:eastAsia="uk-UA"/>
        </w:rPr>
        <w:t xml:space="preserve">  заплановані такі будівлі та споруди:</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виробничий цех;</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підвальне приміщення для зберігання готової продукції;</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цех розливу;</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торгівельне приміщення;</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підземний резервуар питної води;</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локальна очисна споруда із збірником очищених стоків;</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автостоянка;</w:t>
      </w:r>
    </w:p>
    <w:p w:rsidR="008348CE" w:rsidRPr="00D30744" w:rsidRDefault="008348CE" w:rsidP="001A4034">
      <w:pPr>
        <w:spacing w:after="0" w:line="240" w:lineRule="auto"/>
        <w:ind w:firstLine="708"/>
        <w:jc w:val="both"/>
        <w:rPr>
          <w:rFonts w:ascii="Times New Roman" w:hAnsi="Times New Roman"/>
          <w:color w:val="000000"/>
          <w:sz w:val="24"/>
          <w:szCs w:val="24"/>
          <w:lang w:eastAsia="uk-UA"/>
        </w:rPr>
      </w:pPr>
      <w:r w:rsidRPr="00D30744">
        <w:rPr>
          <w:rFonts w:ascii="Times New Roman" w:hAnsi="Times New Roman"/>
          <w:color w:val="000000"/>
          <w:sz w:val="24"/>
          <w:szCs w:val="24"/>
          <w:lang w:eastAsia="uk-UA"/>
        </w:rPr>
        <w:t>- протипожежна водойма.</w:t>
      </w:r>
    </w:p>
    <w:p w:rsidR="008348CE" w:rsidRPr="00D30744" w:rsidRDefault="008348CE" w:rsidP="001A4034">
      <w:pPr>
        <w:pStyle w:val="NormalWeb"/>
        <w:spacing w:before="0" w:beforeAutospacing="0" w:after="0" w:afterAutospacing="0"/>
        <w:ind w:firstLine="708"/>
        <w:jc w:val="both"/>
      </w:pPr>
    </w:p>
    <w:p w:rsidR="008348CE" w:rsidRPr="00D30744" w:rsidRDefault="008348CE" w:rsidP="003D616D">
      <w:pPr>
        <w:spacing w:after="0" w:line="240" w:lineRule="auto"/>
        <w:ind w:firstLine="708"/>
        <w:jc w:val="both"/>
        <w:rPr>
          <w:rFonts w:ascii="Times New Roman" w:hAnsi="Times New Roman"/>
          <w:sz w:val="24"/>
          <w:szCs w:val="24"/>
        </w:rPr>
      </w:pPr>
      <w:r w:rsidRPr="00D30744">
        <w:rPr>
          <w:rFonts w:ascii="Times New Roman" w:hAnsi="Times New Roman"/>
          <w:sz w:val="24"/>
          <w:szCs w:val="24"/>
        </w:rPr>
        <w:t>Детальний план території</w:t>
      </w:r>
      <w:r w:rsidRPr="00D30744">
        <w:rPr>
          <w:rFonts w:ascii="Times New Roman" w:hAnsi="Times New Roman"/>
          <w:b/>
          <w:sz w:val="24"/>
          <w:szCs w:val="24"/>
        </w:rPr>
        <w:t xml:space="preserve"> </w:t>
      </w:r>
      <w:r w:rsidRPr="00D30744">
        <w:rPr>
          <w:rFonts w:ascii="Times New Roman" w:hAnsi="Times New Roman"/>
          <w:sz w:val="24"/>
          <w:szCs w:val="24"/>
        </w:rPr>
        <w:t>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Б.2.2-12:2019  «ПЛАНУВАННЯ І ЗАБУДОВА ТЕРИТОРІЙ» та Державним санітарним правилам планування та забудови населених пунктів.</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sz w:val="24"/>
          <w:szCs w:val="24"/>
        </w:rPr>
      </w:pPr>
      <w:r w:rsidRPr="00D30744">
        <w:rPr>
          <w:rFonts w:ascii="Times New Roman" w:hAnsi="Times New Roman"/>
          <w:b/>
          <w:sz w:val="24"/>
          <w:szCs w:val="24"/>
        </w:rPr>
        <w:tab/>
        <w:t>4.Ймовірні наслідки від господарської діяльності.</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А)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У процесі будівництва можливе виникнення різноманітних ризиків впливу на навколишнє природне середовище, а саме.</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Відходи.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Тверді побутові відходи та відходи переробки винограду що будуть утворюватися під час експлуатації передбачається збирати в контейнери, та вивозити спеціалізованою організацією для переробки та утилізації згідно графіку, або по мірі накопичення. </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У разі виявлення та ідентифікації серед побутового сміття небезпечних відходів, – необхідно вживати заходів для їх видалення та утилізації відповідно до вимог чинного законодавства України.</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Поверхневі та підземні води.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До потенційних джерел впливу на поверхневі ґрунтові води відносяться забруднені води з проїзної частини доріг та проїздів.</w:t>
      </w:r>
    </w:p>
    <w:p w:rsidR="008348CE" w:rsidRPr="00D30744" w:rsidRDefault="008348CE" w:rsidP="003D616D">
      <w:pPr>
        <w:spacing w:after="0" w:line="240" w:lineRule="auto"/>
        <w:ind w:firstLine="708"/>
        <w:jc w:val="both"/>
        <w:rPr>
          <w:rFonts w:ascii="Times New Roman" w:hAnsi="Times New Roman"/>
          <w:sz w:val="24"/>
          <w:szCs w:val="24"/>
        </w:rPr>
      </w:pPr>
      <w:r w:rsidRPr="00D30744">
        <w:rPr>
          <w:rFonts w:ascii="Times New Roman" w:hAnsi="Times New Roman"/>
          <w:sz w:val="24"/>
          <w:szCs w:val="24"/>
        </w:rPr>
        <w:t xml:space="preserve">Для функціонування будівель та споруд комплексу передбачена локальна очисна споруда з збірником очищених стоків. </w:t>
      </w:r>
    </w:p>
    <w:p w:rsidR="008348CE" w:rsidRPr="00D30744" w:rsidRDefault="008348CE" w:rsidP="003D616D">
      <w:pPr>
        <w:spacing w:after="0" w:line="240" w:lineRule="auto"/>
        <w:ind w:firstLine="708"/>
        <w:jc w:val="both"/>
        <w:rPr>
          <w:rFonts w:ascii="Times New Roman" w:hAnsi="Times New Roman"/>
          <w:sz w:val="24"/>
          <w:szCs w:val="24"/>
        </w:rPr>
      </w:pPr>
      <w:r w:rsidRPr="00D30744">
        <w:rPr>
          <w:rFonts w:ascii="Times New Roman" w:hAnsi="Times New Roman"/>
          <w:sz w:val="24"/>
          <w:szCs w:val="24"/>
        </w:rPr>
        <w:t xml:space="preserve">Відведення поверхневих вод з проектованих територій передбачено  відкритим  способом (через  лотки,  дорожні кювети, водовідвідні канави та ін.).  </w:t>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b/>
          <w:sz w:val="24"/>
          <w:szCs w:val="24"/>
        </w:rPr>
        <w:tab/>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b/>
          <w:sz w:val="24"/>
          <w:szCs w:val="24"/>
        </w:rPr>
        <w:tab/>
        <w:t>Ґрунт та надра.</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У процесі будівництва та експлуатації запроектованих об’єктів створення додаткових негативних впливів на грунт та надра не передбачається.     </w:t>
      </w:r>
      <w:r w:rsidRPr="00D30744">
        <w:rPr>
          <w:rFonts w:ascii="Times New Roman" w:hAnsi="Times New Roman"/>
          <w:sz w:val="24"/>
          <w:szCs w:val="24"/>
        </w:rPr>
        <w:tab/>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Проектом передбачається максимальне збереження існуючого рельєфу. </w:t>
      </w:r>
      <w:r w:rsidRPr="00D30744">
        <w:rPr>
          <w:rFonts w:ascii="Times New Roman" w:hAnsi="Times New Roman"/>
          <w:sz w:val="24"/>
          <w:szCs w:val="24"/>
        </w:rPr>
        <w:tab/>
        <w:t>Планується комплексний благоустрій території.</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Атмосферне повітря.</w:t>
      </w:r>
      <w:r w:rsidRPr="00D30744">
        <w:rPr>
          <w:sz w:val="24"/>
          <w:szCs w:val="24"/>
        </w:rPr>
        <w:t xml:space="preserve"> </w:t>
      </w:r>
    </w:p>
    <w:p w:rsidR="008348CE" w:rsidRPr="00D30744" w:rsidRDefault="008348CE" w:rsidP="003D616D">
      <w:pPr>
        <w:spacing w:after="0" w:line="240" w:lineRule="auto"/>
        <w:ind w:firstLine="708"/>
        <w:jc w:val="both"/>
        <w:rPr>
          <w:rFonts w:ascii="Times New Roman" w:hAnsi="Times New Roman"/>
          <w:sz w:val="24"/>
          <w:szCs w:val="24"/>
        </w:rPr>
      </w:pPr>
      <w:r w:rsidRPr="00D30744">
        <w:rPr>
          <w:rFonts w:ascii="Times New Roman" w:hAnsi="Times New Roman"/>
          <w:sz w:val="24"/>
          <w:szCs w:val="24"/>
        </w:rPr>
        <w:t>Вплив на повітряне середовище в ході будівництва об’єктів очікується від наступних джерел викиду забруднюючих речовин:</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 двигуни внутрішнього згорання будівельної техніки і автотранспорту, які працюють на дизельному пальному;</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 розвантаження будівельних матеріалів (щебеню, піску та інш.) та земляні роботи;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-інші будівельні роботи.</w:t>
      </w:r>
    </w:p>
    <w:p w:rsidR="008348CE" w:rsidRPr="00D30744" w:rsidRDefault="008348CE" w:rsidP="00532F93">
      <w:pPr>
        <w:spacing w:after="0" w:line="240" w:lineRule="auto"/>
        <w:ind w:firstLine="708"/>
        <w:jc w:val="both"/>
        <w:rPr>
          <w:rFonts w:ascii="Times New Roman" w:hAnsi="Times New Roman"/>
          <w:sz w:val="24"/>
          <w:szCs w:val="24"/>
        </w:rPr>
      </w:pPr>
      <w:r w:rsidRPr="00D30744">
        <w:rPr>
          <w:rFonts w:ascii="Times New Roman" w:hAnsi="Times New Roman"/>
          <w:sz w:val="24"/>
          <w:szCs w:val="24"/>
        </w:rPr>
        <w:t>Після закінчення будівельних робіт перелічені джерела викиду припинять існування.</w:t>
      </w:r>
    </w:p>
    <w:p w:rsidR="008348CE" w:rsidRPr="00D30744" w:rsidRDefault="008348CE" w:rsidP="006A6AF6">
      <w:pPr>
        <w:spacing w:line="240" w:lineRule="auto"/>
        <w:jc w:val="both"/>
        <w:rPr>
          <w:rFonts w:ascii="Times New Roman" w:hAnsi="Times New Roman"/>
          <w:sz w:val="24"/>
          <w:szCs w:val="24"/>
        </w:rPr>
      </w:pPr>
      <w:r w:rsidRPr="00D30744">
        <w:rPr>
          <w:rFonts w:ascii="Times New Roman" w:hAnsi="Times New Roman"/>
          <w:sz w:val="24"/>
          <w:szCs w:val="24"/>
        </w:rPr>
        <w:tab/>
      </w:r>
    </w:p>
    <w:p w:rsidR="008348CE" w:rsidRPr="00B51803" w:rsidRDefault="008348CE" w:rsidP="00D30744">
      <w:pPr>
        <w:spacing w:line="240" w:lineRule="auto"/>
        <w:ind w:firstLine="708"/>
        <w:jc w:val="both"/>
        <w:rPr>
          <w:rFonts w:ascii="Times New Roman" w:hAnsi="Times New Roman"/>
          <w:b/>
          <w:sz w:val="24"/>
          <w:szCs w:val="24"/>
        </w:rPr>
      </w:pPr>
      <w:r w:rsidRPr="00D30744">
        <w:rPr>
          <w:rFonts w:ascii="Times New Roman" w:hAnsi="Times New Roman"/>
          <w:b/>
          <w:sz w:val="24"/>
          <w:szCs w:val="24"/>
        </w:rPr>
        <w:t>Акустичний вплив.</w:t>
      </w:r>
      <w:r w:rsidRPr="00D30744">
        <w:rPr>
          <w:rFonts w:ascii="Times New Roman" w:hAnsi="Times New Roman"/>
          <w:b/>
          <w:sz w:val="24"/>
          <w:szCs w:val="24"/>
        </w:rPr>
        <w:tab/>
      </w:r>
    </w:p>
    <w:p w:rsidR="008348CE" w:rsidRPr="00D30744" w:rsidRDefault="008348CE" w:rsidP="00D30744">
      <w:pPr>
        <w:spacing w:line="240" w:lineRule="auto"/>
        <w:ind w:firstLine="708"/>
        <w:jc w:val="both"/>
        <w:rPr>
          <w:rFonts w:ascii="Times New Roman" w:hAnsi="Times New Roman"/>
          <w:b/>
          <w:sz w:val="24"/>
          <w:szCs w:val="24"/>
        </w:rPr>
      </w:pPr>
      <w:r w:rsidRPr="00D30744">
        <w:rPr>
          <w:rFonts w:ascii="Times New Roman" w:hAnsi="Times New Roman"/>
          <w:sz w:val="24"/>
          <w:szCs w:val="24"/>
        </w:rPr>
        <w:t>Під час будівництва, від роботи будівельної техніки та механізмів можливе тимчасове додаткове шумове навантаження що перевищує норму. Після закінчення періоду будівництва існування цих джерел шуму припиниться.</w:t>
      </w:r>
    </w:p>
    <w:p w:rsidR="008348CE" w:rsidRPr="00D30744" w:rsidRDefault="008348CE" w:rsidP="001E291E">
      <w:pPr>
        <w:spacing w:after="0" w:line="240" w:lineRule="auto"/>
        <w:ind w:firstLine="708"/>
        <w:jc w:val="both"/>
        <w:rPr>
          <w:rFonts w:ascii="Times New Roman" w:hAnsi="Times New Roman"/>
          <w:sz w:val="24"/>
          <w:szCs w:val="24"/>
        </w:rPr>
      </w:pPr>
      <w:r w:rsidRPr="00D30744">
        <w:rPr>
          <w:rFonts w:ascii="Times New Roman" w:hAnsi="Times New Roman"/>
          <w:sz w:val="24"/>
          <w:szCs w:val="24"/>
        </w:rPr>
        <w:t>Джерелами шуму в період функціонування об’єктів є автотранспорт.</w:t>
      </w:r>
    </w:p>
    <w:p w:rsidR="008348CE" w:rsidRPr="00D30744" w:rsidRDefault="008348CE" w:rsidP="001E291E">
      <w:pPr>
        <w:spacing w:after="0" w:line="240" w:lineRule="auto"/>
        <w:ind w:firstLine="708"/>
        <w:jc w:val="both"/>
        <w:rPr>
          <w:rFonts w:ascii="Times New Roman" w:hAnsi="Times New Roman"/>
          <w:sz w:val="24"/>
          <w:szCs w:val="24"/>
        </w:rPr>
      </w:pPr>
    </w:p>
    <w:p w:rsidR="008348CE" w:rsidRPr="00D30744" w:rsidRDefault="008348CE" w:rsidP="007676F8">
      <w:pPr>
        <w:spacing w:after="0" w:line="240" w:lineRule="auto"/>
        <w:jc w:val="both"/>
        <w:rPr>
          <w:rFonts w:ascii="Times New Roman" w:hAnsi="Times New Roman"/>
          <w:sz w:val="24"/>
          <w:szCs w:val="24"/>
        </w:rPr>
      </w:pPr>
      <w:r w:rsidRPr="00D30744">
        <w:rPr>
          <w:rFonts w:ascii="Times New Roman" w:hAnsi="Times New Roman"/>
          <w:sz w:val="24"/>
          <w:szCs w:val="24"/>
        </w:rPr>
        <w:tab/>
      </w:r>
      <w:r w:rsidRPr="00D30744">
        <w:rPr>
          <w:rFonts w:ascii="Times New Roman" w:hAnsi="Times New Roman"/>
          <w:b/>
          <w:sz w:val="24"/>
          <w:szCs w:val="24"/>
        </w:rPr>
        <w:t>Світлове, теплове та радіаційне забруднення.</w:t>
      </w:r>
    </w:p>
    <w:p w:rsidR="008348CE" w:rsidRPr="00D30744" w:rsidRDefault="008348CE" w:rsidP="007676F8">
      <w:pPr>
        <w:spacing w:after="0" w:line="240" w:lineRule="auto"/>
        <w:jc w:val="both"/>
        <w:rPr>
          <w:rFonts w:ascii="Times New Roman" w:hAnsi="Times New Roman"/>
          <w:sz w:val="24"/>
          <w:szCs w:val="24"/>
        </w:rPr>
      </w:pPr>
      <w:r w:rsidRPr="00D30744">
        <w:rPr>
          <w:rFonts w:ascii="Times New Roman" w:hAnsi="Times New Roman"/>
          <w:sz w:val="24"/>
          <w:szCs w:val="24"/>
        </w:rPr>
        <w:tab/>
        <w:t>Очікування перерахованих впливів від експлуатації запроектованих об’єктів не передбачається.</w:t>
      </w:r>
    </w:p>
    <w:p w:rsidR="008348CE" w:rsidRPr="00D30744" w:rsidRDefault="008348CE" w:rsidP="00612E67">
      <w:pPr>
        <w:spacing w:after="0" w:line="240" w:lineRule="auto"/>
        <w:jc w:val="both"/>
        <w:rPr>
          <w:rFonts w:ascii="Times New Roman" w:hAnsi="Times New Roman"/>
          <w:b/>
          <w:sz w:val="24"/>
          <w:szCs w:val="24"/>
        </w:rPr>
      </w:pPr>
      <w:r w:rsidRPr="00D30744">
        <w:rPr>
          <w:rFonts w:ascii="Times New Roman" w:hAnsi="Times New Roman"/>
          <w:b/>
          <w:sz w:val="24"/>
          <w:szCs w:val="24"/>
        </w:rPr>
        <w:tab/>
      </w:r>
    </w:p>
    <w:p w:rsidR="008348CE" w:rsidRPr="00D30744" w:rsidRDefault="008348CE" w:rsidP="00612E67">
      <w:pPr>
        <w:spacing w:after="0" w:line="240" w:lineRule="auto"/>
        <w:jc w:val="both"/>
        <w:rPr>
          <w:rFonts w:ascii="Times New Roman" w:hAnsi="Times New Roman"/>
          <w:b/>
          <w:sz w:val="24"/>
          <w:szCs w:val="24"/>
        </w:rPr>
      </w:pPr>
      <w:r w:rsidRPr="00D30744">
        <w:rPr>
          <w:rFonts w:ascii="Times New Roman" w:hAnsi="Times New Roman"/>
          <w:b/>
          <w:sz w:val="24"/>
          <w:szCs w:val="24"/>
        </w:rPr>
        <w:tab/>
        <w:t>Флора та  і фауна.</w:t>
      </w:r>
    </w:p>
    <w:p w:rsidR="008348CE" w:rsidRPr="00D30744" w:rsidRDefault="008348CE" w:rsidP="000E2879">
      <w:pPr>
        <w:spacing w:after="0" w:line="240" w:lineRule="auto"/>
        <w:ind w:firstLine="708"/>
        <w:jc w:val="both"/>
        <w:rPr>
          <w:rFonts w:ascii="Times New Roman" w:hAnsi="Times New Roman"/>
          <w:sz w:val="24"/>
          <w:szCs w:val="24"/>
        </w:rPr>
      </w:pPr>
      <w:r w:rsidRPr="00D30744">
        <w:rPr>
          <w:rFonts w:ascii="Times New Roman" w:hAnsi="Times New Roman"/>
          <w:sz w:val="24"/>
          <w:szCs w:val="24"/>
        </w:rPr>
        <w:t>Деревна рослинність на території проектування відсутня. В процесі будівництва об’єктів вплив на рослинний покрив в основному буде виявлятися в пошкодженні та частковому знищенні рослинності будівельною технікою та транспортними засобами.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З огляду на характер запланованих робіт, негативного впливу на місцеву фауну та флору не очікується. </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Після завершення будівельних робіт планується максимальне озеленення і благоустрій території.</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Геологічне середовище.</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b/>
          <w:sz w:val="24"/>
          <w:szCs w:val="24"/>
        </w:rPr>
        <w:tab/>
      </w:r>
      <w:r w:rsidRPr="00D30744">
        <w:rPr>
          <w:rFonts w:ascii="Times New Roman" w:hAnsi="Times New Roman"/>
          <w:sz w:val="24"/>
          <w:szCs w:val="24"/>
        </w:rPr>
        <w:t xml:space="preserve">В період будівельних робіт передбачається об’єм земляних робіт на глибину до </w:t>
      </w:r>
      <w:smartTag w:uri="urn:schemas-microsoft-com:office:smarttags" w:element="metricconverter">
        <w:smartTagPr>
          <w:attr w:name="ProductID" w:val="3,0 м"/>
        </w:smartTagPr>
        <w:r w:rsidRPr="00D30744">
          <w:rPr>
            <w:rFonts w:ascii="Times New Roman" w:hAnsi="Times New Roman"/>
            <w:sz w:val="24"/>
            <w:szCs w:val="24"/>
          </w:rPr>
          <w:t>3,0 м</w:t>
        </w:r>
      </w:smartTag>
      <w:r w:rsidRPr="00D30744">
        <w:rPr>
          <w:rFonts w:ascii="Times New Roman" w:hAnsi="Times New Roman"/>
          <w:sz w:val="24"/>
          <w:szCs w:val="24"/>
        </w:rPr>
        <w:t>.</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Технологічні  ризики - аварії,  що можуть вплинути на здоров’я населення.</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Б)  Для територій з природоохоронним статусом:</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Запроектований об’єкт знаходиться за межами населеного пункту, на значній віддалі від природоохоронних об’єктів, таким чином не має негативного впливу на  них.</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В) Транскордонні наслідки для довкілля, у тому числі для здоров’я населення:</w:t>
      </w:r>
    </w:p>
    <w:p w:rsidR="008348CE" w:rsidRPr="00D30744" w:rsidRDefault="008348CE" w:rsidP="003D616D">
      <w:pPr>
        <w:spacing w:line="240" w:lineRule="auto"/>
        <w:jc w:val="both"/>
        <w:rPr>
          <w:rFonts w:ascii="Times New Roman" w:hAnsi="Times New Roman"/>
          <w:sz w:val="24"/>
          <w:szCs w:val="24"/>
        </w:rPr>
      </w:pPr>
      <w:r w:rsidRPr="00D30744">
        <w:rPr>
          <w:rFonts w:ascii="Times New Roman" w:hAnsi="Times New Roman"/>
          <w:sz w:val="24"/>
          <w:szCs w:val="24"/>
        </w:rPr>
        <w:tab/>
        <w:t>Виконання та реалізація детального плану зазначеної ділянки не матиме негативних транскордонних наслідків для довкілля, у тому числі для здоров’я населення.</w:t>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5. Виправдані альтернативи, які необхідно розглянути, у тому числі якщо документ державного планування не буде затверджено.</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Альтернативні земельні ділянки для розміщення запланованих об’єктів, які би відповідали аналогічним санітарним, екологічним та будівельним вимогам не розглядаються.  </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b/>
          <w:sz w:val="24"/>
          <w:szCs w:val="24"/>
        </w:rPr>
        <w:tab/>
        <w:t xml:space="preserve">6. Дослідження, які необхідно провести, методи і критерії, що використовуватимуться під час стратегічної екологічної оцінки. </w:t>
      </w:r>
    </w:p>
    <w:p w:rsidR="008348CE" w:rsidRPr="00D30744" w:rsidRDefault="008348CE" w:rsidP="001A396E">
      <w:pPr>
        <w:spacing w:after="0" w:line="240" w:lineRule="auto"/>
        <w:ind w:firstLine="708"/>
        <w:jc w:val="both"/>
        <w:rPr>
          <w:rFonts w:ascii="Times New Roman" w:hAnsi="Times New Roman"/>
          <w:sz w:val="24"/>
          <w:szCs w:val="24"/>
        </w:rPr>
      </w:pPr>
      <w:r w:rsidRPr="00D30744">
        <w:rPr>
          <w:rFonts w:ascii="Times New Roman" w:hAnsi="Times New Roman"/>
          <w:sz w:val="24"/>
          <w:szCs w:val="24"/>
        </w:rPr>
        <w:t>Під час проведення процедури стратегічної екологічної оцінки передбачені заходи для запобіганням негативному впливу на довкілля та  здоров’я населення:</w:t>
      </w:r>
    </w:p>
    <w:p w:rsidR="008348CE" w:rsidRPr="00D30744" w:rsidRDefault="008348CE" w:rsidP="004207F9">
      <w:pPr>
        <w:spacing w:after="0" w:line="240" w:lineRule="auto"/>
        <w:rPr>
          <w:rFonts w:ascii="Times New Roman" w:hAnsi="Times New Roman"/>
          <w:sz w:val="24"/>
          <w:szCs w:val="24"/>
        </w:rPr>
      </w:pPr>
      <w:r w:rsidRPr="00D30744">
        <w:rPr>
          <w:rFonts w:ascii="Times New Roman" w:hAnsi="Times New Roman"/>
          <w:sz w:val="24"/>
          <w:szCs w:val="24"/>
        </w:rPr>
        <w:t>– щодо охорони атмосферного повітря;</w:t>
      </w:r>
    </w:p>
    <w:p w:rsidR="008348CE" w:rsidRPr="00D30744" w:rsidRDefault="008348CE" w:rsidP="004207F9">
      <w:pPr>
        <w:spacing w:after="0" w:line="240" w:lineRule="auto"/>
        <w:rPr>
          <w:rFonts w:ascii="Times New Roman" w:hAnsi="Times New Roman"/>
          <w:sz w:val="24"/>
          <w:szCs w:val="24"/>
        </w:rPr>
      </w:pPr>
      <w:r w:rsidRPr="00D30744">
        <w:rPr>
          <w:rFonts w:ascii="Times New Roman" w:hAnsi="Times New Roman"/>
          <w:sz w:val="24"/>
          <w:szCs w:val="24"/>
        </w:rPr>
        <w:t>– охорона поверхневих та підземних вод,  ґрунтів;</w:t>
      </w:r>
    </w:p>
    <w:p w:rsidR="008348CE" w:rsidRPr="00D30744" w:rsidRDefault="008348CE" w:rsidP="004207F9">
      <w:pPr>
        <w:spacing w:after="0" w:line="240" w:lineRule="auto"/>
        <w:rPr>
          <w:rFonts w:ascii="Times New Roman" w:hAnsi="Times New Roman"/>
          <w:sz w:val="24"/>
          <w:szCs w:val="24"/>
        </w:rPr>
      </w:pPr>
      <w:r w:rsidRPr="00D30744">
        <w:rPr>
          <w:rFonts w:ascii="Times New Roman" w:hAnsi="Times New Roman"/>
          <w:sz w:val="24"/>
          <w:szCs w:val="24"/>
        </w:rPr>
        <w:t>– заходи щодо пожежної безпеки;</w:t>
      </w:r>
    </w:p>
    <w:p w:rsidR="008348CE" w:rsidRPr="00D30744" w:rsidRDefault="008348CE" w:rsidP="004207F9">
      <w:pPr>
        <w:spacing w:after="0" w:line="240" w:lineRule="auto"/>
        <w:rPr>
          <w:rFonts w:ascii="Times New Roman" w:hAnsi="Times New Roman"/>
          <w:sz w:val="24"/>
          <w:szCs w:val="24"/>
        </w:rPr>
      </w:pPr>
      <w:r w:rsidRPr="00D30744">
        <w:rPr>
          <w:rFonts w:ascii="Times New Roman" w:hAnsi="Times New Roman"/>
          <w:sz w:val="24"/>
          <w:szCs w:val="24"/>
        </w:rPr>
        <w:t>– відновлюванні та охоронні заходи.</w:t>
      </w:r>
    </w:p>
    <w:p w:rsidR="008348CE" w:rsidRPr="00D30744" w:rsidRDefault="008348CE" w:rsidP="004207F9">
      <w:pPr>
        <w:spacing w:after="0" w:line="240" w:lineRule="auto"/>
        <w:rPr>
          <w:rFonts w:ascii="Times New Roman" w:hAnsi="Times New Roman"/>
          <w:sz w:val="24"/>
          <w:szCs w:val="24"/>
        </w:rPr>
      </w:pPr>
      <w:r w:rsidRPr="00D30744">
        <w:rPr>
          <w:rFonts w:ascii="Times New Roman" w:hAnsi="Times New Roman"/>
          <w:sz w:val="24"/>
          <w:szCs w:val="24"/>
        </w:rPr>
        <w:tab/>
        <w:t>Проведення спеціальних досліджень для стратегічної екологічної оцінки не передбачається.</w:t>
      </w:r>
    </w:p>
    <w:p w:rsidR="008348CE" w:rsidRPr="00D30744" w:rsidRDefault="008348CE" w:rsidP="004207F9">
      <w:pPr>
        <w:spacing w:after="0" w:line="240" w:lineRule="auto"/>
        <w:rPr>
          <w:rFonts w:ascii="Times New Roman" w:hAnsi="Times New Roman"/>
          <w:sz w:val="24"/>
          <w:szCs w:val="24"/>
        </w:rPr>
      </w:pPr>
    </w:p>
    <w:p w:rsidR="008348CE" w:rsidRPr="00D30744" w:rsidRDefault="008348CE" w:rsidP="001A396E">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348CE" w:rsidRPr="00D30744" w:rsidRDefault="008348CE" w:rsidP="00FA7728">
      <w:pPr>
        <w:spacing w:after="0" w:line="240" w:lineRule="auto"/>
        <w:jc w:val="both"/>
        <w:rPr>
          <w:rFonts w:ascii="Times New Roman" w:hAnsi="Times New Roman"/>
          <w:sz w:val="24"/>
          <w:szCs w:val="24"/>
        </w:rPr>
      </w:pPr>
      <w:r w:rsidRPr="00D30744">
        <w:rPr>
          <w:rFonts w:ascii="Times New Roman" w:hAnsi="Times New Roman"/>
          <w:sz w:val="24"/>
          <w:szCs w:val="24"/>
        </w:rPr>
        <w:tab/>
        <w:t>Для запобігання негативному впливу на довкілля та здоров’я населення передбачені такі заходи:</w:t>
      </w:r>
    </w:p>
    <w:p w:rsidR="008348CE" w:rsidRPr="00D30744" w:rsidRDefault="008348CE" w:rsidP="00FA7728">
      <w:pPr>
        <w:numPr>
          <w:ilvl w:val="0"/>
          <w:numId w:val="3"/>
        </w:numPr>
        <w:spacing w:after="0" w:line="240" w:lineRule="auto"/>
        <w:jc w:val="both"/>
        <w:rPr>
          <w:rFonts w:ascii="Times New Roman" w:hAnsi="Times New Roman"/>
          <w:sz w:val="24"/>
          <w:szCs w:val="24"/>
        </w:rPr>
      </w:pPr>
      <w:r w:rsidRPr="00D30744">
        <w:rPr>
          <w:rFonts w:ascii="Times New Roman" w:hAnsi="Times New Roman"/>
          <w:sz w:val="24"/>
          <w:szCs w:val="24"/>
        </w:rPr>
        <w:t>проведення комплексного благоустрою території, в т.ч., озеленення території, збереження зелених насаджень;</w:t>
      </w:r>
    </w:p>
    <w:p w:rsidR="008348CE" w:rsidRPr="00D30744" w:rsidRDefault="008348CE" w:rsidP="00FA7728">
      <w:pPr>
        <w:numPr>
          <w:ilvl w:val="0"/>
          <w:numId w:val="3"/>
        </w:numPr>
        <w:spacing w:after="0" w:line="240" w:lineRule="auto"/>
        <w:ind w:right="85"/>
        <w:jc w:val="both"/>
        <w:rPr>
          <w:rFonts w:ascii="Times New Roman" w:hAnsi="Times New Roman"/>
          <w:sz w:val="24"/>
          <w:szCs w:val="24"/>
        </w:rPr>
      </w:pPr>
      <w:r w:rsidRPr="00D30744">
        <w:rPr>
          <w:rFonts w:ascii="Times New Roman" w:hAnsi="Times New Roman"/>
          <w:sz w:val="24"/>
          <w:szCs w:val="24"/>
        </w:rPr>
        <w:t>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 України;</w:t>
      </w:r>
    </w:p>
    <w:p w:rsidR="008348CE" w:rsidRPr="00D30744" w:rsidRDefault="008348CE" w:rsidP="003D616D">
      <w:pPr>
        <w:numPr>
          <w:ilvl w:val="0"/>
          <w:numId w:val="3"/>
        </w:numPr>
        <w:spacing w:after="0" w:line="240" w:lineRule="auto"/>
        <w:ind w:right="85"/>
        <w:jc w:val="both"/>
        <w:rPr>
          <w:rFonts w:ascii="Times New Roman" w:hAnsi="Times New Roman"/>
          <w:sz w:val="24"/>
          <w:szCs w:val="24"/>
        </w:rPr>
      </w:pPr>
      <w:r w:rsidRPr="00D30744">
        <w:rPr>
          <w:rFonts w:ascii="Times New Roman" w:hAnsi="Times New Roman"/>
          <w:sz w:val="24"/>
          <w:szCs w:val="24"/>
        </w:rPr>
        <w:t>заходи по зменшенню викидів в атмосферу від систем опалення будівель та споруд.</w:t>
      </w:r>
    </w:p>
    <w:p w:rsidR="008348CE" w:rsidRPr="00D30744" w:rsidRDefault="008348CE" w:rsidP="003D616D">
      <w:pPr>
        <w:spacing w:after="0" w:line="240" w:lineRule="auto"/>
        <w:ind w:left="360" w:right="85"/>
        <w:jc w:val="both"/>
        <w:rPr>
          <w:rFonts w:ascii="Times New Roman" w:hAnsi="Times New Roman"/>
          <w:sz w:val="24"/>
          <w:szCs w:val="24"/>
        </w:rPr>
      </w:pPr>
    </w:p>
    <w:p w:rsidR="008348CE" w:rsidRPr="00D30744" w:rsidRDefault="008348CE" w:rsidP="003D616D">
      <w:pPr>
        <w:spacing w:after="0" w:line="240" w:lineRule="auto"/>
        <w:ind w:right="85"/>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Заходи щодо пожежної безпеки.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Витримані протипожежні відстані при розміщенні об’єктів будівництва та вуличної мережі.</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 xml:space="preserve">На проектованій території забороняється розведення вогнищ, спалювання відходів. </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Захисні заходи  цивільної оборони.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Будівництво захисних споруд для населення на території проектування ДПТ  не передбачене.</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Під час небезпеки евакуація працівників та відвідувачів планується проводити власним автотранспортом або автобусами до найближчої споруди цивільного захисту, узгодженої з ДСНС  Закарпатської  області.</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r>
    </w:p>
    <w:p w:rsidR="008348CE" w:rsidRPr="00D30744" w:rsidRDefault="008348CE" w:rsidP="003D616D">
      <w:pPr>
        <w:spacing w:after="0" w:line="240" w:lineRule="auto"/>
        <w:rPr>
          <w:rFonts w:ascii="Times New Roman" w:hAnsi="Times New Roman"/>
          <w:b/>
          <w:sz w:val="24"/>
          <w:szCs w:val="24"/>
        </w:rPr>
      </w:pPr>
      <w:r w:rsidRPr="00D30744">
        <w:rPr>
          <w:rFonts w:ascii="Times New Roman" w:hAnsi="Times New Roman"/>
          <w:b/>
          <w:sz w:val="24"/>
          <w:szCs w:val="24"/>
        </w:rPr>
        <w:tab/>
        <w:t>Компенсаційні заходи.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На всіх етапах реалізації ДПТ проектні рішення будуть здійснюватися в відповідності з нормами і правилами охорони навколишнього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jc w:val="both"/>
        <w:rPr>
          <w:rFonts w:ascii="Times New Roman" w:hAnsi="Times New Roman"/>
          <w:b/>
          <w:sz w:val="24"/>
          <w:szCs w:val="24"/>
        </w:rPr>
      </w:pPr>
      <w:r w:rsidRPr="00D30744">
        <w:rPr>
          <w:rFonts w:ascii="Times New Roman" w:hAnsi="Times New Roman"/>
          <w:sz w:val="24"/>
          <w:szCs w:val="24"/>
        </w:rPr>
        <w:tab/>
      </w:r>
      <w:r w:rsidRPr="00D30744">
        <w:rPr>
          <w:rFonts w:ascii="Times New Roman" w:hAnsi="Times New Roman"/>
          <w:b/>
          <w:sz w:val="24"/>
          <w:szCs w:val="24"/>
        </w:rPr>
        <w:t>8.</w:t>
      </w:r>
      <w:r w:rsidRPr="00D30744">
        <w:rPr>
          <w:rFonts w:ascii="Times New Roman" w:hAnsi="Times New Roman"/>
          <w:b/>
          <w:sz w:val="24"/>
          <w:szCs w:val="24"/>
        </w:rPr>
        <w:tab/>
        <w:t>Пропозиції щодо структури та змісту звіту про стратегічну екологічну оцінку:</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ab/>
        <w:t>Звіт про стратегічну екологічну оцінку міститиме таку інформацію:</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1) Основні цілі детального плану, його зв’язок з іншими документами державного планування;</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8348CE" w:rsidRPr="00D30744" w:rsidRDefault="008348CE" w:rsidP="003D616D">
      <w:pPr>
        <w:spacing w:after="0" w:line="240" w:lineRule="auto"/>
        <w:jc w:val="both"/>
        <w:rPr>
          <w:rFonts w:ascii="Times New Roman" w:hAnsi="Times New Roman"/>
          <w:sz w:val="24"/>
          <w:szCs w:val="24"/>
          <w:lang w:val="ru-RU"/>
        </w:rPr>
      </w:pPr>
      <w:r w:rsidRPr="00D30744">
        <w:rPr>
          <w:rFonts w:ascii="Times New Roman" w:hAnsi="Times New Roman"/>
          <w:sz w:val="24"/>
          <w:szCs w:val="24"/>
        </w:rPr>
        <w:t>4) Екологічні проблеми, у тому числі,  ризики впливу на здоров’я населення, які стосуються детального плану території</w:t>
      </w:r>
      <w:r w:rsidRPr="00D30744">
        <w:rPr>
          <w:rFonts w:ascii="Times New Roman" w:hAnsi="Times New Roman"/>
          <w:sz w:val="24"/>
          <w:szCs w:val="24"/>
          <w:lang w:val="ru-RU"/>
        </w:rPr>
        <w:t>;</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6) Заходи, що передбачається вжити для запобігання, зменшення та пом’якшення негативних наслідків виконання детального плану території;</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7)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8348CE" w:rsidRPr="00D30744" w:rsidRDefault="008348CE" w:rsidP="003D616D">
      <w:pPr>
        <w:spacing w:after="0" w:line="240" w:lineRule="auto"/>
        <w:jc w:val="both"/>
        <w:rPr>
          <w:rFonts w:ascii="Times New Roman" w:hAnsi="Times New Roman"/>
          <w:sz w:val="24"/>
          <w:szCs w:val="24"/>
        </w:rPr>
      </w:pPr>
      <w:r w:rsidRPr="00D30744">
        <w:rPr>
          <w:rFonts w:ascii="Times New Roman" w:hAnsi="Times New Roman"/>
          <w:sz w:val="24"/>
          <w:szCs w:val="24"/>
        </w:rPr>
        <w:t>8) Заходи,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8348CE" w:rsidRPr="00D30744" w:rsidRDefault="008348CE" w:rsidP="003D616D">
      <w:pPr>
        <w:spacing w:after="0" w:line="240" w:lineRule="auto"/>
        <w:jc w:val="both"/>
        <w:rPr>
          <w:rFonts w:ascii="Times New Roman" w:hAnsi="Times New Roman"/>
          <w:sz w:val="24"/>
          <w:szCs w:val="24"/>
        </w:rPr>
      </w:pPr>
    </w:p>
    <w:p w:rsidR="008348CE" w:rsidRPr="00D30744" w:rsidRDefault="008348CE" w:rsidP="003D616D">
      <w:pPr>
        <w:spacing w:after="0" w:line="240" w:lineRule="auto"/>
        <w:ind w:firstLine="708"/>
        <w:jc w:val="both"/>
        <w:rPr>
          <w:rFonts w:ascii="Times New Roman" w:hAnsi="Times New Roman"/>
          <w:b/>
          <w:sz w:val="24"/>
          <w:szCs w:val="24"/>
        </w:rPr>
      </w:pPr>
      <w:r w:rsidRPr="00D30744">
        <w:rPr>
          <w:rFonts w:ascii="Times New Roman" w:hAnsi="Times New Roman"/>
          <w:b/>
          <w:sz w:val="24"/>
          <w:szCs w:val="24"/>
        </w:rPr>
        <w:t>9. Орган, до якого подаються зауваження і пропозиції, та строки їх подання.</w:t>
      </w:r>
    </w:p>
    <w:p w:rsidR="008348CE" w:rsidRPr="00D30744" w:rsidRDefault="008348CE" w:rsidP="001A4034">
      <w:pPr>
        <w:spacing w:after="0" w:line="240" w:lineRule="auto"/>
        <w:ind w:firstLine="708"/>
        <w:jc w:val="both"/>
        <w:rPr>
          <w:rFonts w:ascii="Times New Roman" w:hAnsi="Times New Roman"/>
          <w:sz w:val="24"/>
          <w:szCs w:val="24"/>
        </w:rPr>
      </w:pPr>
      <w:r w:rsidRPr="00D30744">
        <w:rPr>
          <w:rFonts w:ascii="Times New Roman" w:hAnsi="Times New Roman"/>
          <w:sz w:val="24"/>
          <w:szCs w:val="24"/>
        </w:rPr>
        <w:t>Зауваження і пропозиції подавати до відділу містобудування, архітектури та інфраструктури: 90200, Закарпатська область, місто Берегове, вулиця Мукачівська, 6, Е-mail: beregarch@ukr.net</w:t>
      </w:r>
    </w:p>
    <w:p w:rsidR="008348CE" w:rsidRPr="00D30744" w:rsidRDefault="008348CE" w:rsidP="001A4034">
      <w:pPr>
        <w:spacing w:after="0" w:line="240" w:lineRule="auto"/>
        <w:ind w:firstLine="708"/>
        <w:jc w:val="both"/>
        <w:rPr>
          <w:rFonts w:ascii="Times New Roman" w:hAnsi="Times New Roman"/>
          <w:sz w:val="24"/>
          <w:szCs w:val="24"/>
        </w:rPr>
      </w:pPr>
      <w:r w:rsidRPr="00D30744">
        <w:rPr>
          <w:rFonts w:ascii="Times New Roman" w:hAnsi="Times New Roman"/>
          <w:sz w:val="24"/>
          <w:szCs w:val="24"/>
        </w:rPr>
        <w:t>Відповідальна особа: Петра Тетяна Прокопівна, начальник відділу містобудування, архітектури та інфраструктури.</w:t>
      </w:r>
    </w:p>
    <w:p w:rsidR="008348CE" w:rsidRPr="00D30744" w:rsidRDefault="008348CE" w:rsidP="001A4034">
      <w:pPr>
        <w:spacing w:after="0" w:line="240" w:lineRule="auto"/>
        <w:jc w:val="both"/>
        <w:rPr>
          <w:rFonts w:ascii="Times New Roman" w:hAnsi="Times New Roman"/>
          <w:sz w:val="24"/>
          <w:szCs w:val="24"/>
        </w:rPr>
      </w:pPr>
    </w:p>
    <w:p w:rsidR="008348CE" w:rsidRPr="00D30744" w:rsidRDefault="008348CE" w:rsidP="003D616D">
      <w:pPr>
        <w:spacing w:line="240" w:lineRule="auto"/>
        <w:jc w:val="both"/>
        <w:rPr>
          <w:rFonts w:ascii="Times New Roman" w:hAnsi="Times New Roman"/>
          <w:sz w:val="24"/>
          <w:szCs w:val="24"/>
        </w:rPr>
      </w:pPr>
      <w:r w:rsidRPr="00D30744">
        <w:rPr>
          <w:rFonts w:ascii="Times New Roman" w:hAnsi="Times New Roman"/>
          <w:sz w:val="24"/>
          <w:szCs w:val="24"/>
        </w:rPr>
        <w:tab/>
        <w:t>Строк подання зауважень і пропозицій становить 15 днів.</w:t>
      </w:r>
    </w:p>
    <w:p w:rsidR="008348CE" w:rsidRDefault="008348CE" w:rsidP="003D616D">
      <w:pPr>
        <w:spacing w:line="240" w:lineRule="auto"/>
        <w:jc w:val="both"/>
        <w:rPr>
          <w:rFonts w:ascii="Times New Roman" w:hAnsi="Times New Roman"/>
          <w:sz w:val="28"/>
          <w:szCs w:val="28"/>
        </w:rPr>
      </w:pPr>
    </w:p>
    <w:p w:rsidR="008348CE" w:rsidRPr="00B51803" w:rsidRDefault="008348CE" w:rsidP="00D30744">
      <w:pPr>
        <w:spacing w:line="240" w:lineRule="auto"/>
        <w:jc w:val="both"/>
        <w:rPr>
          <w:rFonts w:ascii="Times New Roman" w:hAnsi="Times New Roman"/>
          <w:sz w:val="20"/>
          <w:szCs w:val="20"/>
          <w:lang w:val="ru-RU"/>
        </w:rPr>
      </w:pPr>
    </w:p>
    <w:sectPr w:rsidR="008348CE" w:rsidRPr="00B51803" w:rsidSect="00D30744">
      <w:pgSz w:w="11906" w:h="16838"/>
      <w:pgMar w:top="36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2D833BA0"/>
    <w:multiLevelType w:val="hybridMultilevel"/>
    <w:tmpl w:val="D3E6D9C4"/>
    <w:lvl w:ilvl="0" w:tplc="F5F4459C">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BC94AC6"/>
    <w:multiLevelType w:val="hybridMultilevel"/>
    <w:tmpl w:val="24FC22EE"/>
    <w:lvl w:ilvl="0" w:tplc="710A0F66">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6BF"/>
    <w:rsid w:val="00016878"/>
    <w:rsid w:val="00024FEF"/>
    <w:rsid w:val="00064635"/>
    <w:rsid w:val="00083D7C"/>
    <w:rsid w:val="0008449F"/>
    <w:rsid w:val="00084F24"/>
    <w:rsid w:val="000A1485"/>
    <w:rsid w:val="000A39D9"/>
    <w:rsid w:val="000A6C62"/>
    <w:rsid w:val="000B36FA"/>
    <w:rsid w:val="000B7774"/>
    <w:rsid w:val="000C41F9"/>
    <w:rsid w:val="000D3547"/>
    <w:rsid w:val="000E2879"/>
    <w:rsid w:val="000E2A64"/>
    <w:rsid w:val="00101527"/>
    <w:rsid w:val="00104121"/>
    <w:rsid w:val="00107278"/>
    <w:rsid w:val="00115102"/>
    <w:rsid w:val="00117720"/>
    <w:rsid w:val="00181842"/>
    <w:rsid w:val="00191EFC"/>
    <w:rsid w:val="001A396E"/>
    <w:rsid w:val="001A4034"/>
    <w:rsid w:val="001B289C"/>
    <w:rsid w:val="001B7EC2"/>
    <w:rsid w:val="001D5696"/>
    <w:rsid w:val="001E291E"/>
    <w:rsid w:val="00202261"/>
    <w:rsid w:val="00220058"/>
    <w:rsid w:val="00233414"/>
    <w:rsid w:val="0024426F"/>
    <w:rsid w:val="0024435A"/>
    <w:rsid w:val="002456D1"/>
    <w:rsid w:val="002459A5"/>
    <w:rsid w:val="00273866"/>
    <w:rsid w:val="00284C9C"/>
    <w:rsid w:val="00287B06"/>
    <w:rsid w:val="002929F6"/>
    <w:rsid w:val="002A7941"/>
    <w:rsid w:val="002D21CC"/>
    <w:rsid w:val="002E60ED"/>
    <w:rsid w:val="002E6FF9"/>
    <w:rsid w:val="003047E4"/>
    <w:rsid w:val="00310EA1"/>
    <w:rsid w:val="003159A2"/>
    <w:rsid w:val="00343AA0"/>
    <w:rsid w:val="0034636A"/>
    <w:rsid w:val="00350D38"/>
    <w:rsid w:val="003608BA"/>
    <w:rsid w:val="00383769"/>
    <w:rsid w:val="00396295"/>
    <w:rsid w:val="003A30A2"/>
    <w:rsid w:val="003A4FC9"/>
    <w:rsid w:val="003C5D11"/>
    <w:rsid w:val="003D56BE"/>
    <w:rsid w:val="003D616D"/>
    <w:rsid w:val="004207F9"/>
    <w:rsid w:val="00423F35"/>
    <w:rsid w:val="00443670"/>
    <w:rsid w:val="00446464"/>
    <w:rsid w:val="00451CC1"/>
    <w:rsid w:val="00455E8F"/>
    <w:rsid w:val="004606BD"/>
    <w:rsid w:val="00472A4B"/>
    <w:rsid w:val="004C7DB2"/>
    <w:rsid w:val="005029AB"/>
    <w:rsid w:val="00504852"/>
    <w:rsid w:val="005146A6"/>
    <w:rsid w:val="00515C96"/>
    <w:rsid w:val="005169B8"/>
    <w:rsid w:val="00521258"/>
    <w:rsid w:val="00526DCF"/>
    <w:rsid w:val="0053180F"/>
    <w:rsid w:val="00532F93"/>
    <w:rsid w:val="005538B8"/>
    <w:rsid w:val="00563B13"/>
    <w:rsid w:val="00570FEE"/>
    <w:rsid w:val="00582F31"/>
    <w:rsid w:val="00595D14"/>
    <w:rsid w:val="0059609E"/>
    <w:rsid w:val="005A5BC6"/>
    <w:rsid w:val="005B38D7"/>
    <w:rsid w:val="005B617B"/>
    <w:rsid w:val="005D533F"/>
    <w:rsid w:val="00612E67"/>
    <w:rsid w:val="00632656"/>
    <w:rsid w:val="006366D7"/>
    <w:rsid w:val="00641813"/>
    <w:rsid w:val="006470C0"/>
    <w:rsid w:val="0065380D"/>
    <w:rsid w:val="0067731F"/>
    <w:rsid w:val="0068556F"/>
    <w:rsid w:val="006A617E"/>
    <w:rsid w:val="006A6AF6"/>
    <w:rsid w:val="006C0BA5"/>
    <w:rsid w:val="006C29F4"/>
    <w:rsid w:val="006E5F69"/>
    <w:rsid w:val="00703173"/>
    <w:rsid w:val="00727E64"/>
    <w:rsid w:val="00732740"/>
    <w:rsid w:val="007405F0"/>
    <w:rsid w:val="00740C33"/>
    <w:rsid w:val="00750490"/>
    <w:rsid w:val="007676F8"/>
    <w:rsid w:val="00770252"/>
    <w:rsid w:val="0077086D"/>
    <w:rsid w:val="00784252"/>
    <w:rsid w:val="007C7392"/>
    <w:rsid w:val="007F0CA6"/>
    <w:rsid w:val="00800893"/>
    <w:rsid w:val="00804504"/>
    <w:rsid w:val="008059E6"/>
    <w:rsid w:val="0081626E"/>
    <w:rsid w:val="008348CE"/>
    <w:rsid w:val="00857877"/>
    <w:rsid w:val="00870202"/>
    <w:rsid w:val="00881F79"/>
    <w:rsid w:val="00884B57"/>
    <w:rsid w:val="00890183"/>
    <w:rsid w:val="008C00F3"/>
    <w:rsid w:val="008C0E13"/>
    <w:rsid w:val="008C36DC"/>
    <w:rsid w:val="008D3289"/>
    <w:rsid w:val="008E098B"/>
    <w:rsid w:val="008E09A5"/>
    <w:rsid w:val="008E377A"/>
    <w:rsid w:val="008F0529"/>
    <w:rsid w:val="008F7E23"/>
    <w:rsid w:val="00902308"/>
    <w:rsid w:val="009042D2"/>
    <w:rsid w:val="009127C5"/>
    <w:rsid w:val="00934707"/>
    <w:rsid w:val="009348E0"/>
    <w:rsid w:val="00947858"/>
    <w:rsid w:val="0095464C"/>
    <w:rsid w:val="00967D8F"/>
    <w:rsid w:val="00975F4C"/>
    <w:rsid w:val="009A306F"/>
    <w:rsid w:val="009B3A05"/>
    <w:rsid w:val="009E43F5"/>
    <w:rsid w:val="00A123FF"/>
    <w:rsid w:val="00A14027"/>
    <w:rsid w:val="00A20708"/>
    <w:rsid w:val="00A22524"/>
    <w:rsid w:val="00A25E61"/>
    <w:rsid w:val="00A37753"/>
    <w:rsid w:val="00A66A51"/>
    <w:rsid w:val="00A839D8"/>
    <w:rsid w:val="00A918A2"/>
    <w:rsid w:val="00A94D94"/>
    <w:rsid w:val="00A95BC8"/>
    <w:rsid w:val="00AA4231"/>
    <w:rsid w:val="00AA6F48"/>
    <w:rsid w:val="00AB195F"/>
    <w:rsid w:val="00AF1EDA"/>
    <w:rsid w:val="00AF273A"/>
    <w:rsid w:val="00AF7846"/>
    <w:rsid w:val="00B21E35"/>
    <w:rsid w:val="00B509FE"/>
    <w:rsid w:val="00B51803"/>
    <w:rsid w:val="00B61CD0"/>
    <w:rsid w:val="00B6553F"/>
    <w:rsid w:val="00B93718"/>
    <w:rsid w:val="00B93EDC"/>
    <w:rsid w:val="00BA11F7"/>
    <w:rsid w:val="00BA25B6"/>
    <w:rsid w:val="00BC2B91"/>
    <w:rsid w:val="00BD3F71"/>
    <w:rsid w:val="00BE438A"/>
    <w:rsid w:val="00C266C2"/>
    <w:rsid w:val="00C42436"/>
    <w:rsid w:val="00C7222C"/>
    <w:rsid w:val="00CA1019"/>
    <w:rsid w:val="00CB0E60"/>
    <w:rsid w:val="00CD634F"/>
    <w:rsid w:val="00CD704B"/>
    <w:rsid w:val="00CF06BF"/>
    <w:rsid w:val="00CF722D"/>
    <w:rsid w:val="00D1482A"/>
    <w:rsid w:val="00D164C2"/>
    <w:rsid w:val="00D16F71"/>
    <w:rsid w:val="00D2069C"/>
    <w:rsid w:val="00D30744"/>
    <w:rsid w:val="00D33A87"/>
    <w:rsid w:val="00D54259"/>
    <w:rsid w:val="00D577E1"/>
    <w:rsid w:val="00D63ABA"/>
    <w:rsid w:val="00D75CE8"/>
    <w:rsid w:val="00DA71DA"/>
    <w:rsid w:val="00DB6D2B"/>
    <w:rsid w:val="00DC7F1A"/>
    <w:rsid w:val="00DD00C6"/>
    <w:rsid w:val="00DD5FE6"/>
    <w:rsid w:val="00DE72D0"/>
    <w:rsid w:val="00DF3342"/>
    <w:rsid w:val="00E0417D"/>
    <w:rsid w:val="00E05799"/>
    <w:rsid w:val="00E206D9"/>
    <w:rsid w:val="00E20F5A"/>
    <w:rsid w:val="00E22A4A"/>
    <w:rsid w:val="00E3551F"/>
    <w:rsid w:val="00E607EA"/>
    <w:rsid w:val="00E70268"/>
    <w:rsid w:val="00E76E15"/>
    <w:rsid w:val="00E8336C"/>
    <w:rsid w:val="00E91937"/>
    <w:rsid w:val="00E92955"/>
    <w:rsid w:val="00EA40C1"/>
    <w:rsid w:val="00EC54A1"/>
    <w:rsid w:val="00ED1080"/>
    <w:rsid w:val="00ED261D"/>
    <w:rsid w:val="00EF2175"/>
    <w:rsid w:val="00EF30E0"/>
    <w:rsid w:val="00F011A2"/>
    <w:rsid w:val="00F01BA6"/>
    <w:rsid w:val="00F03E6E"/>
    <w:rsid w:val="00F20518"/>
    <w:rsid w:val="00F32A77"/>
    <w:rsid w:val="00F35444"/>
    <w:rsid w:val="00F50B09"/>
    <w:rsid w:val="00F94342"/>
    <w:rsid w:val="00FA3501"/>
    <w:rsid w:val="00FA40FC"/>
    <w:rsid w:val="00FA6AB3"/>
    <w:rsid w:val="00FA7728"/>
    <w:rsid w:val="00FB1E05"/>
    <w:rsid w:val="00FC5DA6"/>
    <w:rsid w:val="00FD4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8B"/>
    <w:pPr>
      <w:spacing w:after="200" w:line="276" w:lineRule="auto"/>
    </w:pPr>
    <w:rPr>
      <w:lang w:val="uk-UA"/>
    </w:rPr>
  </w:style>
  <w:style w:type="paragraph" w:styleId="Heading3">
    <w:name w:val="heading 3"/>
    <w:basedOn w:val="Normal"/>
    <w:link w:val="Heading3Char"/>
    <w:uiPriority w:val="99"/>
    <w:qFormat/>
    <w:locked/>
    <w:rsid w:val="00F94342"/>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4342"/>
    <w:rPr>
      <w:rFonts w:ascii="Times New Roman" w:hAnsi="Times New Roman" w:cs="Times New Roman"/>
      <w:b/>
      <w:sz w:val="27"/>
      <w:lang w:val="uk-UA" w:eastAsia="uk-UA"/>
    </w:rPr>
  </w:style>
  <w:style w:type="paragraph" w:styleId="NormalWeb">
    <w:name w:val="Normal (Web)"/>
    <w:basedOn w:val="Normal"/>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Strong">
    <w:name w:val="Strong"/>
    <w:basedOn w:val="DefaultParagraphFont"/>
    <w:uiPriority w:val="99"/>
    <w:qFormat/>
    <w:locked/>
    <w:rsid w:val="00273866"/>
    <w:rPr>
      <w:rFonts w:cs="Times New Roman"/>
      <w:b/>
    </w:rPr>
  </w:style>
  <w:style w:type="paragraph" w:styleId="NoSpacing">
    <w:name w:val="No Spacing"/>
    <w:uiPriority w:val="99"/>
    <w:qFormat/>
    <w:rsid w:val="008F7E23"/>
    <w:rPr>
      <w:lang w:val="uk-UA"/>
    </w:rPr>
  </w:style>
  <w:style w:type="paragraph" w:styleId="ListParagraph">
    <w:name w:val="List Paragraph"/>
    <w:basedOn w:val="Normal"/>
    <w:uiPriority w:val="99"/>
    <w:qFormat/>
    <w:rsid w:val="002E60ED"/>
    <w:pPr>
      <w:ind w:left="720"/>
      <w:contextualSpacing/>
    </w:pPr>
  </w:style>
  <w:style w:type="character" w:customStyle="1" w:styleId="qu">
    <w:name w:val="qu"/>
    <w:uiPriority w:val="99"/>
    <w:rsid w:val="00F94342"/>
  </w:style>
  <w:style w:type="character" w:customStyle="1" w:styleId="gd">
    <w:name w:val="gd"/>
    <w:uiPriority w:val="99"/>
    <w:rsid w:val="00F94342"/>
  </w:style>
  <w:style w:type="character" w:customStyle="1" w:styleId="go">
    <w:name w:val="go"/>
    <w:uiPriority w:val="99"/>
    <w:rsid w:val="00F94342"/>
  </w:style>
  <w:style w:type="character" w:customStyle="1" w:styleId="g3">
    <w:name w:val="g3"/>
    <w:uiPriority w:val="99"/>
    <w:rsid w:val="00F94342"/>
  </w:style>
  <w:style w:type="character" w:customStyle="1" w:styleId="hb">
    <w:name w:val="hb"/>
    <w:uiPriority w:val="99"/>
    <w:rsid w:val="00F94342"/>
  </w:style>
  <w:style w:type="character" w:customStyle="1" w:styleId="g2">
    <w:name w:val="g2"/>
    <w:uiPriority w:val="99"/>
    <w:rsid w:val="00F94342"/>
  </w:style>
  <w:style w:type="paragraph" w:styleId="BalloonText">
    <w:name w:val="Balloon Text"/>
    <w:basedOn w:val="Normal"/>
    <w:link w:val="BalloonTextChar"/>
    <w:uiPriority w:val="99"/>
    <w:semiHidden/>
    <w:rsid w:val="00F9434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94342"/>
    <w:rPr>
      <w:rFonts w:ascii="Tahoma" w:hAnsi="Tahoma" w:cs="Times New Roman"/>
      <w:sz w:val="16"/>
      <w:lang w:val="uk-UA" w:eastAsia="en-US"/>
    </w:rPr>
  </w:style>
</w:styles>
</file>

<file path=word/webSettings.xml><?xml version="1.0" encoding="utf-8"?>
<w:webSettings xmlns:r="http://schemas.openxmlformats.org/officeDocument/2006/relationships" xmlns:w="http://schemas.openxmlformats.org/wordprocessingml/2006/main">
  <w:divs>
    <w:div w:id="1731266792">
      <w:marLeft w:val="0"/>
      <w:marRight w:val="0"/>
      <w:marTop w:val="0"/>
      <w:marBottom w:val="0"/>
      <w:divBdr>
        <w:top w:val="none" w:sz="0" w:space="0" w:color="auto"/>
        <w:left w:val="none" w:sz="0" w:space="0" w:color="auto"/>
        <w:bottom w:val="none" w:sz="0" w:space="0" w:color="auto"/>
        <w:right w:val="none" w:sz="0" w:space="0" w:color="auto"/>
      </w:divBdr>
    </w:div>
    <w:div w:id="1731266802">
      <w:marLeft w:val="0"/>
      <w:marRight w:val="0"/>
      <w:marTop w:val="0"/>
      <w:marBottom w:val="0"/>
      <w:divBdr>
        <w:top w:val="none" w:sz="0" w:space="0" w:color="auto"/>
        <w:left w:val="none" w:sz="0" w:space="0" w:color="auto"/>
        <w:bottom w:val="none" w:sz="0" w:space="0" w:color="auto"/>
        <w:right w:val="none" w:sz="0" w:space="0" w:color="auto"/>
      </w:divBdr>
    </w:div>
    <w:div w:id="1731266803">
      <w:marLeft w:val="0"/>
      <w:marRight w:val="0"/>
      <w:marTop w:val="0"/>
      <w:marBottom w:val="0"/>
      <w:divBdr>
        <w:top w:val="none" w:sz="0" w:space="0" w:color="auto"/>
        <w:left w:val="none" w:sz="0" w:space="0" w:color="auto"/>
        <w:bottom w:val="none" w:sz="0" w:space="0" w:color="auto"/>
        <w:right w:val="none" w:sz="0" w:space="0" w:color="auto"/>
      </w:divBdr>
      <w:divsChild>
        <w:div w:id="1731266794">
          <w:marLeft w:val="0"/>
          <w:marRight w:val="0"/>
          <w:marTop w:val="0"/>
          <w:marBottom w:val="0"/>
          <w:divBdr>
            <w:top w:val="none" w:sz="0" w:space="0" w:color="auto"/>
            <w:left w:val="none" w:sz="0" w:space="0" w:color="auto"/>
            <w:bottom w:val="none" w:sz="0" w:space="0" w:color="auto"/>
            <w:right w:val="none" w:sz="0" w:space="0" w:color="auto"/>
          </w:divBdr>
          <w:divsChild>
            <w:div w:id="1731266791">
              <w:marLeft w:val="166"/>
              <w:marRight w:val="0"/>
              <w:marTop w:val="0"/>
              <w:marBottom w:val="0"/>
              <w:divBdr>
                <w:top w:val="none" w:sz="0" w:space="0" w:color="auto"/>
                <w:left w:val="none" w:sz="0" w:space="0" w:color="auto"/>
                <w:bottom w:val="none" w:sz="0" w:space="0" w:color="auto"/>
                <w:right w:val="none" w:sz="0" w:space="0" w:color="auto"/>
              </w:divBdr>
            </w:div>
            <w:div w:id="1731266795">
              <w:marLeft w:val="0"/>
              <w:marRight w:val="0"/>
              <w:marTop w:val="0"/>
              <w:marBottom w:val="0"/>
              <w:divBdr>
                <w:top w:val="none" w:sz="0" w:space="0" w:color="auto"/>
                <w:left w:val="none" w:sz="0" w:space="0" w:color="auto"/>
                <w:bottom w:val="none" w:sz="0" w:space="0" w:color="auto"/>
                <w:right w:val="none" w:sz="0" w:space="0" w:color="auto"/>
              </w:divBdr>
            </w:div>
            <w:div w:id="1731266796">
              <w:marLeft w:val="166"/>
              <w:marRight w:val="0"/>
              <w:marTop w:val="0"/>
              <w:marBottom w:val="0"/>
              <w:divBdr>
                <w:top w:val="none" w:sz="0" w:space="0" w:color="auto"/>
                <w:left w:val="none" w:sz="0" w:space="0" w:color="auto"/>
                <w:bottom w:val="none" w:sz="0" w:space="0" w:color="auto"/>
                <w:right w:val="none" w:sz="0" w:space="0" w:color="auto"/>
              </w:divBdr>
            </w:div>
            <w:div w:id="1731266797">
              <w:marLeft w:val="0"/>
              <w:marRight w:val="0"/>
              <w:marTop w:val="0"/>
              <w:marBottom w:val="0"/>
              <w:divBdr>
                <w:top w:val="none" w:sz="0" w:space="0" w:color="auto"/>
                <w:left w:val="none" w:sz="0" w:space="0" w:color="auto"/>
                <w:bottom w:val="none" w:sz="0" w:space="0" w:color="auto"/>
                <w:right w:val="none" w:sz="0" w:space="0" w:color="auto"/>
              </w:divBdr>
            </w:div>
            <w:div w:id="1731266799">
              <w:marLeft w:val="33"/>
              <w:marRight w:val="0"/>
              <w:marTop w:val="0"/>
              <w:marBottom w:val="0"/>
              <w:divBdr>
                <w:top w:val="none" w:sz="0" w:space="0" w:color="auto"/>
                <w:left w:val="none" w:sz="0" w:space="0" w:color="auto"/>
                <w:bottom w:val="none" w:sz="0" w:space="0" w:color="auto"/>
                <w:right w:val="none" w:sz="0" w:space="0" w:color="auto"/>
              </w:divBdr>
            </w:div>
          </w:divsChild>
        </w:div>
        <w:div w:id="1731266798">
          <w:marLeft w:val="0"/>
          <w:marRight w:val="0"/>
          <w:marTop w:val="0"/>
          <w:marBottom w:val="0"/>
          <w:divBdr>
            <w:top w:val="none" w:sz="0" w:space="0" w:color="auto"/>
            <w:left w:val="none" w:sz="0" w:space="0" w:color="auto"/>
            <w:bottom w:val="none" w:sz="0" w:space="0" w:color="auto"/>
            <w:right w:val="none" w:sz="0" w:space="0" w:color="auto"/>
          </w:divBdr>
          <w:divsChild>
            <w:div w:id="1731266801">
              <w:marLeft w:val="0"/>
              <w:marRight w:val="0"/>
              <w:marTop w:val="67"/>
              <w:marBottom w:val="0"/>
              <w:divBdr>
                <w:top w:val="none" w:sz="0" w:space="0" w:color="auto"/>
                <w:left w:val="none" w:sz="0" w:space="0" w:color="auto"/>
                <w:bottom w:val="none" w:sz="0" w:space="0" w:color="auto"/>
                <w:right w:val="none" w:sz="0" w:space="0" w:color="auto"/>
              </w:divBdr>
              <w:divsChild>
                <w:div w:id="1731266793">
                  <w:marLeft w:val="0"/>
                  <w:marRight w:val="0"/>
                  <w:marTop w:val="0"/>
                  <w:marBottom w:val="0"/>
                  <w:divBdr>
                    <w:top w:val="none" w:sz="0" w:space="0" w:color="auto"/>
                    <w:left w:val="none" w:sz="0" w:space="0" w:color="auto"/>
                    <w:bottom w:val="none" w:sz="0" w:space="0" w:color="auto"/>
                    <w:right w:val="none" w:sz="0" w:space="0" w:color="auto"/>
                  </w:divBdr>
                  <w:divsChild>
                    <w:div w:id="1731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bereg-rda@carpathi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1815</Words>
  <Characters>10349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51</cp:revision>
  <dcterms:created xsi:type="dcterms:W3CDTF">2019-12-02T13:02:00Z</dcterms:created>
  <dcterms:modified xsi:type="dcterms:W3CDTF">2020-09-18T11:01:00Z</dcterms:modified>
</cp:coreProperties>
</file>