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FB" w:rsidRPr="00222A34" w:rsidRDefault="001B26FB" w:rsidP="00ED24C2">
      <w:pPr>
        <w:tabs>
          <w:tab w:val="left" w:pos="4820"/>
          <w:tab w:val="left" w:pos="4962"/>
        </w:tabs>
        <w:jc w:val="center"/>
        <w:rPr>
          <w:b/>
          <w:bCs/>
          <w:sz w:val="26"/>
          <w:szCs w:val="26"/>
        </w:rPr>
      </w:pPr>
      <w:r w:rsidRPr="00A41AFD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3.5pt;visibility:visible">
            <v:imagedata r:id="rId7" o:title=""/>
          </v:shape>
        </w:pict>
      </w:r>
    </w:p>
    <w:p w:rsidR="001B26FB" w:rsidRPr="00222A34" w:rsidRDefault="001B26FB" w:rsidP="00ED24C2">
      <w:pPr>
        <w:spacing w:before="120" w:after="120"/>
        <w:rPr>
          <w:b/>
          <w:bCs/>
        </w:rPr>
      </w:pPr>
      <w:r w:rsidRPr="00222A34">
        <w:rPr>
          <w:b/>
          <w:bCs/>
        </w:rPr>
        <w:t xml:space="preserve">                                                          У К Р А Ї Н А                                                             </w:t>
      </w:r>
    </w:p>
    <w:p w:rsidR="001B26FB" w:rsidRPr="00222A34" w:rsidRDefault="001B26FB" w:rsidP="00ED24C2">
      <w:pPr>
        <w:jc w:val="center"/>
        <w:rPr>
          <w:b/>
          <w:bCs/>
          <w:sz w:val="44"/>
          <w:szCs w:val="44"/>
        </w:rPr>
      </w:pPr>
      <w:r w:rsidRPr="00222A34">
        <w:rPr>
          <w:b/>
          <w:bCs/>
          <w:sz w:val="44"/>
          <w:szCs w:val="44"/>
        </w:rPr>
        <w:t>Р О З П О Р Я Д Ж Е Н Н Я</w:t>
      </w:r>
    </w:p>
    <w:p w:rsidR="001B26FB" w:rsidRPr="00222A34" w:rsidRDefault="001B26FB" w:rsidP="00ED24C2">
      <w:pPr>
        <w:jc w:val="center"/>
        <w:rPr>
          <w:b/>
          <w:bCs/>
        </w:rPr>
      </w:pPr>
      <w:r w:rsidRPr="00222A34">
        <w:rPr>
          <w:b/>
          <w:bCs/>
        </w:rPr>
        <w:t>голови Берегівської районної державної адміністрації</w:t>
      </w:r>
    </w:p>
    <w:p w:rsidR="001B26FB" w:rsidRPr="00222A34" w:rsidRDefault="001B26FB" w:rsidP="00ED24C2">
      <w:pPr>
        <w:jc w:val="center"/>
        <w:rPr>
          <w:b/>
          <w:bCs/>
        </w:rPr>
      </w:pPr>
      <w:r w:rsidRPr="00222A34">
        <w:rPr>
          <w:b/>
          <w:bCs/>
        </w:rPr>
        <w:t>Закарпатської області</w:t>
      </w:r>
    </w:p>
    <w:p w:rsidR="001B26FB" w:rsidRPr="00222A34" w:rsidRDefault="001B26FB" w:rsidP="00ED24C2">
      <w:pPr>
        <w:jc w:val="center"/>
        <w:rPr>
          <w:b/>
          <w:bCs/>
        </w:rPr>
      </w:pPr>
    </w:p>
    <w:p w:rsidR="001B26FB" w:rsidRPr="00222A34" w:rsidRDefault="001B26FB" w:rsidP="00ED24C2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</w:rPr>
      </w:pPr>
      <w:r>
        <w:rPr>
          <w:bCs/>
        </w:rPr>
        <w:t>__</w:t>
      </w:r>
      <w:r w:rsidRPr="00313698">
        <w:rPr>
          <w:bCs/>
          <w:lang w:val="ru-RU"/>
        </w:rPr>
        <w:t>21.11.2013_</w:t>
      </w:r>
      <w:r>
        <w:rPr>
          <w:bCs/>
        </w:rPr>
        <w:t xml:space="preserve">                   </w:t>
      </w:r>
      <w:r w:rsidRPr="00222A34">
        <w:rPr>
          <w:bCs/>
        </w:rPr>
        <w:t xml:space="preserve">               Берегово    </w:t>
      </w:r>
      <w:r>
        <w:rPr>
          <w:bCs/>
        </w:rPr>
        <w:t xml:space="preserve">                             №____</w:t>
      </w:r>
      <w:r>
        <w:rPr>
          <w:bCs/>
          <w:lang w:val="en-US"/>
        </w:rPr>
        <w:t>474</w:t>
      </w:r>
      <w:r>
        <w:rPr>
          <w:bCs/>
        </w:rPr>
        <w:t>___</w:t>
      </w:r>
    </w:p>
    <w:p w:rsidR="001B26FB" w:rsidRPr="00222A34" w:rsidRDefault="001B26FB" w:rsidP="00882A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26FB" w:rsidRDefault="001B26FB" w:rsidP="00882A70"/>
    <w:p w:rsidR="001B26FB" w:rsidRPr="00222A34" w:rsidRDefault="001B26FB" w:rsidP="00882A70"/>
    <w:p w:rsidR="001B26FB" w:rsidRPr="00CD7F17" w:rsidRDefault="001B26FB" w:rsidP="00882A70">
      <w:pPr>
        <w:jc w:val="center"/>
        <w:rPr>
          <w:b/>
          <w:lang w:val="ru-RU"/>
        </w:rPr>
      </w:pPr>
      <w:r w:rsidRPr="00827041">
        <w:rPr>
          <w:b/>
          <w:lang w:val="ru-RU"/>
        </w:rPr>
        <w:t>Про</w:t>
      </w:r>
      <w:r w:rsidRPr="00CA4AF2">
        <w:rPr>
          <w:b/>
        </w:rPr>
        <w:t xml:space="preserve"> Програму </w:t>
      </w:r>
      <w:r w:rsidRPr="00827041">
        <w:rPr>
          <w:b/>
        </w:rPr>
        <w:t>фінансової</w:t>
      </w:r>
      <w:r w:rsidRPr="00CD7F17">
        <w:rPr>
          <w:b/>
          <w:lang w:val="ru-RU"/>
        </w:rPr>
        <w:t xml:space="preserve"> </w:t>
      </w:r>
      <w:r w:rsidRPr="00827041">
        <w:rPr>
          <w:b/>
        </w:rPr>
        <w:t xml:space="preserve">підтримки </w:t>
      </w:r>
    </w:p>
    <w:p w:rsidR="001B26FB" w:rsidRPr="00CD7F17" w:rsidRDefault="001B26FB" w:rsidP="00882A70">
      <w:pPr>
        <w:jc w:val="center"/>
        <w:rPr>
          <w:b/>
          <w:lang w:val="ru-RU"/>
        </w:rPr>
      </w:pPr>
      <w:r w:rsidRPr="00827041">
        <w:rPr>
          <w:b/>
        </w:rPr>
        <w:t xml:space="preserve">громадських </w:t>
      </w:r>
      <w:r w:rsidRPr="00882A70">
        <w:rPr>
          <w:b/>
          <w:lang w:val="ru-RU"/>
        </w:rPr>
        <w:t xml:space="preserve"> </w:t>
      </w:r>
      <w:r w:rsidRPr="00827041">
        <w:rPr>
          <w:b/>
        </w:rPr>
        <w:t>організацій</w:t>
      </w:r>
      <w:r w:rsidRPr="00882A70">
        <w:rPr>
          <w:b/>
          <w:lang w:val="ru-RU"/>
        </w:rPr>
        <w:t xml:space="preserve"> </w:t>
      </w:r>
      <w:r w:rsidRPr="00CD7F17">
        <w:rPr>
          <w:b/>
          <w:lang w:val="ru-RU"/>
        </w:rPr>
        <w:t xml:space="preserve"> </w:t>
      </w:r>
      <w:r w:rsidRPr="00827041">
        <w:rPr>
          <w:b/>
        </w:rPr>
        <w:t xml:space="preserve">інвалідів </w:t>
      </w:r>
    </w:p>
    <w:p w:rsidR="001B26FB" w:rsidRPr="00827041" w:rsidRDefault="001B26FB" w:rsidP="00882A70">
      <w:pPr>
        <w:jc w:val="center"/>
        <w:rPr>
          <w:b/>
        </w:rPr>
      </w:pPr>
      <w:r w:rsidRPr="00827041">
        <w:rPr>
          <w:b/>
        </w:rPr>
        <w:t>та ветеранів</w:t>
      </w:r>
      <w:r>
        <w:rPr>
          <w:b/>
        </w:rPr>
        <w:t xml:space="preserve"> району</w:t>
      </w:r>
      <w:r w:rsidRPr="00827041">
        <w:rPr>
          <w:b/>
        </w:rPr>
        <w:t xml:space="preserve"> на 20</w:t>
      </w:r>
      <w:r>
        <w:rPr>
          <w:b/>
        </w:rPr>
        <w:t>14</w:t>
      </w:r>
      <w:r w:rsidRPr="00827041">
        <w:rPr>
          <w:b/>
        </w:rPr>
        <w:t xml:space="preserve"> рік</w:t>
      </w:r>
    </w:p>
    <w:p w:rsidR="001B26FB" w:rsidRPr="00827041" w:rsidRDefault="001B26FB" w:rsidP="00882A70">
      <w:pPr>
        <w:rPr>
          <w:b/>
        </w:rPr>
      </w:pPr>
    </w:p>
    <w:p w:rsidR="001B26FB" w:rsidRDefault="001B26FB" w:rsidP="00882A70">
      <w:pPr>
        <w:rPr>
          <w:b/>
        </w:rPr>
      </w:pPr>
      <w:r>
        <w:rPr>
          <w:b/>
        </w:rPr>
        <w:t xml:space="preserve">  </w:t>
      </w:r>
    </w:p>
    <w:p w:rsidR="001B26FB" w:rsidRPr="00827041" w:rsidRDefault="001B26FB" w:rsidP="00882A70">
      <w:pPr>
        <w:rPr>
          <w:b/>
        </w:rPr>
      </w:pPr>
    </w:p>
    <w:p w:rsidR="001B26FB" w:rsidRDefault="001B26FB" w:rsidP="00882A70">
      <w:pPr>
        <w:ind w:firstLine="567"/>
        <w:jc w:val="both"/>
      </w:pPr>
      <w:r w:rsidRPr="00CA4AF2">
        <w:t>Відповідно до статей 6, 23</w:t>
      </w:r>
      <w:r>
        <w:t xml:space="preserve"> і 39 Закону України </w:t>
      </w:r>
      <w:r w:rsidRPr="00CD7F17">
        <w:rPr>
          <w:lang w:val="ru-RU"/>
        </w:rPr>
        <w:t>„</w:t>
      </w:r>
      <w:r w:rsidRPr="00CA4AF2">
        <w:t>Про</w:t>
      </w:r>
      <w:r>
        <w:t xml:space="preserve"> місцеві державні адміністрації”</w:t>
      </w:r>
      <w:r w:rsidRPr="00CA4AF2">
        <w:t>:</w:t>
      </w:r>
    </w:p>
    <w:p w:rsidR="001B26FB" w:rsidRPr="00CA4AF2" w:rsidRDefault="001B26FB" w:rsidP="00882A70">
      <w:pPr>
        <w:ind w:firstLine="567"/>
        <w:jc w:val="both"/>
      </w:pPr>
    </w:p>
    <w:p w:rsidR="001B26FB" w:rsidRPr="00CA4AF2" w:rsidRDefault="001B26FB" w:rsidP="00882A70">
      <w:pPr>
        <w:ind w:firstLine="567"/>
        <w:jc w:val="both"/>
      </w:pPr>
      <w:r>
        <w:t>1.</w:t>
      </w:r>
      <w:r w:rsidRPr="00CA4AF2">
        <w:t xml:space="preserve">Схвалити Програму фінансової підтримки </w:t>
      </w:r>
      <w:r>
        <w:t xml:space="preserve">громадських організацій </w:t>
      </w:r>
      <w:r w:rsidRPr="00CA4AF2">
        <w:t>інвалідів та ветеранів</w:t>
      </w:r>
      <w:r>
        <w:t xml:space="preserve"> району на 2014</w:t>
      </w:r>
      <w:r w:rsidRPr="00CA4AF2">
        <w:t xml:space="preserve"> рік</w:t>
      </w:r>
      <w:bookmarkStart w:id="0" w:name="_GoBack"/>
      <w:bookmarkEnd w:id="0"/>
      <w:r>
        <w:t>, що додається, та подати її на розгляд сесії районної ради</w:t>
      </w:r>
      <w:r w:rsidRPr="00CA4AF2">
        <w:t>.</w:t>
      </w:r>
    </w:p>
    <w:p w:rsidR="001B26FB" w:rsidRPr="00222A34" w:rsidRDefault="001B26FB" w:rsidP="0095343B">
      <w:pPr>
        <w:ind w:firstLine="567"/>
        <w:jc w:val="both"/>
        <w:rPr>
          <w:szCs w:val="20"/>
          <w:lang w:val="ru-RU"/>
        </w:rPr>
      </w:pPr>
      <w:r>
        <w:rPr>
          <w:szCs w:val="20"/>
        </w:rPr>
        <w:t>2.Контроль за виконанням цього розпорядження покласти на першого заступника голови державної адміністрації Горвата В. С.</w:t>
      </w:r>
      <w:r w:rsidRPr="00222A34">
        <w:rPr>
          <w:szCs w:val="20"/>
          <w:lang w:val="ru-RU"/>
        </w:rPr>
        <w:t xml:space="preserve"> </w:t>
      </w:r>
    </w:p>
    <w:p w:rsidR="001B26FB" w:rsidRPr="00222A34" w:rsidRDefault="001B26FB" w:rsidP="00882A70">
      <w:pPr>
        <w:rPr>
          <w:szCs w:val="20"/>
          <w:lang w:val="ru-RU"/>
        </w:rPr>
      </w:pPr>
    </w:p>
    <w:p w:rsidR="001B26FB" w:rsidRPr="00222A34" w:rsidRDefault="001B26FB" w:rsidP="00882A70">
      <w:pPr>
        <w:rPr>
          <w:szCs w:val="20"/>
          <w:lang w:val="ru-RU"/>
        </w:rPr>
      </w:pPr>
    </w:p>
    <w:p w:rsidR="001B26FB" w:rsidRDefault="001B26FB" w:rsidP="00882A70">
      <w:pPr>
        <w:rPr>
          <w:szCs w:val="20"/>
          <w:lang w:val="ru-RU"/>
        </w:rPr>
      </w:pPr>
    </w:p>
    <w:p w:rsidR="001B26FB" w:rsidRPr="00222A34" w:rsidRDefault="001B26FB" w:rsidP="00882A70">
      <w:pPr>
        <w:rPr>
          <w:szCs w:val="20"/>
          <w:lang w:val="ru-RU"/>
        </w:rPr>
      </w:pPr>
    </w:p>
    <w:p w:rsidR="001B26FB" w:rsidRPr="00222A34" w:rsidRDefault="001B26FB" w:rsidP="00882A70">
      <w:pPr>
        <w:rPr>
          <w:szCs w:val="20"/>
          <w:lang w:val="ru-RU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939"/>
      </w:tblGrid>
      <w:tr w:rsidR="001B26FB" w:rsidRPr="00222A34" w:rsidTr="00FA27E0">
        <w:tc>
          <w:tcPr>
            <w:tcW w:w="5031" w:type="dxa"/>
          </w:tcPr>
          <w:p w:rsidR="001B26FB" w:rsidRPr="002A4DDA" w:rsidRDefault="001B26FB" w:rsidP="00CD1619">
            <w:pPr>
              <w:rPr>
                <w:b/>
                <w:szCs w:val="20"/>
              </w:rPr>
            </w:pPr>
            <w:r w:rsidRPr="002A4DDA">
              <w:rPr>
                <w:b/>
                <w:szCs w:val="20"/>
              </w:rPr>
              <w:t>Голова  державної адміністрації</w:t>
            </w:r>
          </w:p>
        </w:tc>
        <w:tc>
          <w:tcPr>
            <w:tcW w:w="4939" w:type="dxa"/>
          </w:tcPr>
          <w:p w:rsidR="001B26FB" w:rsidRPr="003E4D62" w:rsidRDefault="001B26FB" w:rsidP="00CD1619">
            <w:pPr>
              <w:jc w:val="right"/>
              <w:rPr>
                <w:b/>
                <w:szCs w:val="20"/>
              </w:rPr>
            </w:pPr>
            <w:r w:rsidRPr="003E4D62">
              <w:rPr>
                <w:b/>
                <w:szCs w:val="20"/>
              </w:rPr>
              <w:t>В. Гулянич</w:t>
            </w:r>
          </w:p>
        </w:tc>
      </w:tr>
    </w:tbl>
    <w:p w:rsidR="001B26FB" w:rsidRPr="003E4D62" w:rsidRDefault="001B26FB" w:rsidP="00882A70">
      <w:pPr>
        <w:rPr>
          <w:szCs w:val="20"/>
        </w:rPr>
      </w:pPr>
    </w:p>
    <w:p w:rsidR="001B26FB" w:rsidRDefault="001B26FB" w:rsidP="00882A70">
      <w:pPr>
        <w:rPr>
          <w:caps/>
        </w:rPr>
      </w:pPr>
      <w:r>
        <w:rPr>
          <w:caps/>
        </w:rPr>
        <w:tab/>
      </w:r>
      <w:r>
        <w:rPr>
          <w:caps/>
        </w:rPr>
        <w:tab/>
      </w:r>
    </w:p>
    <w:p w:rsidR="001B26FB" w:rsidRPr="00D716D0" w:rsidRDefault="001B26FB" w:rsidP="00882A70">
      <w:pPr>
        <w:ind w:left="5813" w:firstLine="708"/>
      </w:pPr>
      <w:r>
        <w:rPr>
          <w:caps/>
        </w:rPr>
        <w:br w:type="page"/>
      </w:r>
      <w:r w:rsidRPr="00D716D0">
        <w:t>СХВАЛЕНО</w:t>
      </w:r>
    </w:p>
    <w:p w:rsidR="001B26FB" w:rsidRPr="00D716D0" w:rsidRDefault="001B26FB" w:rsidP="00882A70">
      <w:pPr>
        <w:ind w:left="5813" w:firstLine="708"/>
      </w:pPr>
      <w:r w:rsidRPr="00D716D0">
        <w:t xml:space="preserve">Розпорядження голови </w:t>
      </w:r>
    </w:p>
    <w:p w:rsidR="001B26FB" w:rsidRPr="00D716D0" w:rsidRDefault="001B26FB" w:rsidP="00882A70">
      <w:pPr>
        <w:ind w:left="5813" w:firstLine="708"/>
      </w:pPr>
      <w:r w:rsidRPr="00D716D0">
        <w:t>державної адміністрації</w:t>
      </w:r>
    </w:p>
    <w:p w:rsidR="001B26FB" w:rsidRPr="00400CC1" w:rsidRDefault="001B26FB" w:rsidP="00882A70">
      <w:pPr>
        <w:ind w:left="5813" w:firstLine="708"/>
      </w:pPr>
      <w:r>
        <w:t>_</w:t>
      </w:r>
      <w:r w:rsidRPr="00313698">
        <w:rPr>
          <w:lang w:val="ru-RU"/>
        </w:rPr>
        <w:t>21.11.</w:t>
      </w:r>
      <w:r>
        <w:rPr>
          <w:lang w:val="en-US"/>
        </w:rPr>
        <w:t>2013</w:t>
      </w:r>
      <w:r>
        <w:t>_</w:t>
      </w:r>
      <w:r w:rsidRPr="00D716D0">
        <w:t xml:space="preserve"> № </w:t>
      </w:r>
      <w:r>
        <w:t>_</w:t>
      </w:r>
      <w:r>
        <w:rPr>
          <w:lang w:val="en-US"/>
        </w:rPr>
        <w:t xml:space="preserve">474                                                                                                                                                                                                                  </w:t>
      </w:r>
    </w:p>
    <w:p w:rsidR="001B26FB" w:rsidRDefault="001B26FB" w:rsidP="00882A70">
      <w:pPr>
        <w:rPr>
          <w:b/>
          <w:bCs/>
          <w:szCs w:val="24"/>
        </w:rPr>
      </w:pPr>
    </w:p>
    <w:p w:rsidR="001B26FB" w:rsidRPr="004928AC" w:rsidRDefault="001B26FB" w:rsidP="00882A70">
      <w:pPr>
        <w:rPr>
          <w:b/>
          <w:bCs/>
          <w:szCs w:val="24"/>
        </w:rPr>
      </w:pPr>
    </w:p>
    <w:p w:rsidR="001B26FB" w:rsidRPr="0009641B" w:rsidRDefault="001B26FB" w:rsidP="00882A70">
      <w:pPr>
        <w:ind w:firstLine="709"/>
        <w:jc w:val="center"/>
        <w:rPr>
          <w:b/>
        </w:rPr>
      </w:pPr>
      <w:r w:rsidRPr="0009641B">
        <w:rPr>
          <w:b/>
        </w:rPr>
        <w:t>ПРОГРАМА</w:t>
      </w:r>
    </w:p>
    <w:p w:rsidR="001B26FB" w:rsidRPr="0009641B" w:rsidRDefault="001B26FB" w:rsidP="00882A70">
      <w:pPr>
        <w:ind w:firstLine="709"/>
        <w:jc w:val="center"/>
        <w:rPr>
          <w:b/>
        </w:rPr>
      </w:pPr>
      <w:r w:rsidRPr="0009641B">
        <w:rPr>
          <w:b/>
        </w:rPr>
        <w:t xml:space="preserve">фінансової підтримки громадських організацій інвалідів </w:t>
      </w:r>
    </w:p>
    <w:p w:rsidR="001B26FB" w:rsidRPr="0009641B" w:rsidRDefault="001B26FB" w:rsidP="00882A70">
      <w:pPr>
        <w:ind w:firstLine="709"/>
        <w:jc w:val="center"/>
        <w:rPr>
          <w:b/>
        </w:rPr>
      </w:pPr>
      <w:r w:rsidRPr="0009641B">
        <w:rPr>
          <w:b/>
        </w:rPr>
        <w:t>та ветеранів району на 20</w:t>
      </w:r>
      <w:r>
        <w:rPr>
          <w:b/>
        </w:rPr>
        <w:t>14</w:t>
      </w:r>
      <w:r w:rsidRPr="0009641B">
        <w:rPr>
          <w:b/>
        </w:rPr>
        <w:t xml:space="preserve"> рік </w:t>
      </w:r>
    </w:p>
    <w:p w:rsidR="001B26FB" w:rsidRPr="0009641B" w:rsidRDefault="001B26FB" w:rsidP="00882A70">
      <w:pPr>
        <w:ind w:firstLine="709"/>
        <w:jc w:val="center"/>
        <w:rPr>
          <w:b/>
        </w:rPr>
      </w:pPr>
    </w:p>
    <w:p w:rsidR="001B26FB" w:rsidRPr="003E4D62" w:rsidRDefault="001B26FB" w:rsidP="00882A70">
      <w:pPr>
        <w:jc w:val="center"/>
        <w:rPr>
          <w:b/>
        </w:rPr>
      </w:pPr>
      <w:r w:rsidRPr="0009641B">
        <w:rPr>
          <w:b/>
        </w:rPr>
        <w:t xml:space="preserve">Загальні положення </w:t>
      </w:r>
    </w:p>
    <w:p w:rsidR="001B26FB" w:rsidRPr="003E4D62" w:rsidRDefault="001B26FB" w:rsidP="00882A70">
      <w:pPr>
        <w:jc w:val="center"/>
        <w:rPr>
          <w:b/>
        </w:rPr>
      </w:pPr>
    </w:p>
    <w:p w:rsidR="001B26FB" w:rsidRPr="0009641B" w:rsidRDefault="001B26FB" w:rsidP="00882A70">
      <w:pPr>
        <w:ind w:firstLine="709"/>
        <w:jc w:val="both"/>
      </w:pPr>
      <w:r w:rsidRPr="0009641B">
        <w:t xml:space="preserve">Програма </w:t>
      </w:r>
      <w:r>
        <w:t>фінансової підтримки громадських організацій інвалідів та ветеранів району на 2014 рік</w:t>
      </w:r>
      <w:r w:rsidRPr="0009641B">
        <w:t xml:space="preserve"> </w:t>
      </w:r>
      <w:r>
        <w:t xml:space="preserve">(далі – Програма) </w:t>
      </w:r>
      <w:r w:rsidRPr="0009641B">
        <w:t xml:space="preserve">розроблена для забезпечення статутної діяльності та фінансової підтримки громадських організацій інвалідів, ветеранів війни, праці, Збройних сил та органів правопорядку, ветеранів Афганістану. Програма розроблена згідно із Законом України </w:t>
      </w:r>
      <w:r w:rsidRPr="00CD7F17">
        <w:rPr>
          <w:lang w:val="ru-RU"/>
        </w:rPr>
        <w:t>„</w:t>
      </w:r>
      <w:r w:rsidRPr="0009641B">
        <w:t>Про статус ветеранів війни, гарантії їх соціального захисту</w:t>
      </w:r>
      <w:r>
        <w:t>”</w:t>
      </w:r>
      <w:r w:rsidRPr="0009641B">
        <w:t>.</w:t>
      </w:r>
    </w:p>
    <w:p w:rsidR="001B26FB" w:rsidRPr="0009641B" w:rsidRDefault="001B26FB" w:rsidP="00882A70">
      <w:pPr>
        <w:ind w:firstLine="709"/>
      </w:pPr>
    </w:p>
    <w:p w:rsidR="001B26FB" w:rsidRPr="00882A70" w:rsidRDefault="001B26FB" w:rsidP="00882A70">
      <w:pPr>
        <w:jc w:val="center"/>
        <w:rPr>
          <w:b/>
        </w:rPr>
      </w:pPr>
      <w:r w:rsidRPr="0009641B">
        <w:rPr>
          <w:b/>
        </w:rPr>
        <w:t xml:space="preserve">Мета районної Програми </w:t>
      </w:r>
    </w:p>
    <w:p w:rsidR="001B26FB" w:rsidRPr="00882A70" w:rsidRDefault="001B26FB" w:rsidP="00882A70">
      <w:pPr>
        <w:jc w:val="center"/>
        <w:rPr>
          <w:b/>
        </w:rPr>
      </w:pPr>
    </w:p>
    <w:p w:rsidR="001B26FB" w:rsidRPr="0009641B" w:rsidRDefault="001B26FB" w:rsidP="00882A70">
      <w:pPr>
        <w:ind w:firstLine="709"/>
        <w:jc w:val="both"/>
      </w:pPr>
      <w:r w:rsidRPr="0009641B">
        <w:t>Метою районної Програми є посилення уваги до потреб і соціального захисту інвалідів та ветеранів війни, праці, Збройних сил, органів правопорядку та ветеранів Афганістану, які мешкають на території Берегівського району.</w:t>
      </w:r>
    </w:p>
    <w:p w:rsidR="001B26FB" w:rsidRPr="0009641B" w:rsidRDefault="001B26FB" w:rsidP="00882A70">
      <w:pPr>
        <w:ind w:firstLine="709"/>
        <w:jc w:val="both"/>
      </w:pPr>
    </w:p>
    <w:p w:rsidR="001B26FB" w:rsidRPr="00882A70" w:rsidRDefault="001B26FB" w:rsidP="00882A70">
      <w:pPr>
        <w:jc w:val="center"/>
        <w:rPr>
          <w:b/>
          <w:lang w:val="ru-RU"/>
        </w:rPr>
      </w:pPr>
      <w:r w:rsidRPr="0009641B">
        <w:rPr>
          <w:b/>
        </w:rPr>
        <w:t>Фінансове забезпечення Програми</w:t>
      </w:r>
    </w:p>
    <w:p w:rsidR="001B26FB" w:rsidRPr="00882A70" w:rsidRDefault="001B26FB" w:rsidP="00882A70">
      <w:pPr>
        <w:jc w:val="center"/>
        <w:rPr>
          <w:b/>
          <w:lang w:val="ru-RU"/>
        </w:rPr>
      </w:pPr>
    </w:p>
    <w:p w:rsidR="001B26FB" w:rsidRPr="0009641B" w:rsidRDefault="001B26FB" w:rsidP="00882A70">
      <w:pPr>
        <w:ind w:firstLine="709"/>
        <w:jc w:val="both"/>
      </w:pPr>
      <w:r w:rsidRPr="0009641B">
        <w:t>Фінансування Програми здійснюється за рахунок коштів районного бюджету в межах виділених кошторисних призначень.</w:t>
      </w:r>
    </w:p>
    <w:p w:rsidR="001B26FB" w:rsidRDefault="001B26FB" w:rsidP="00882A70">
      <w:pPr>
        <w:ind w:firstLine="709"/>
        <w:jc w:val="both"/>
      </w:pPr>
      <w:r w:rsidRPr="0009641B">
        <w:t>На 20</w:t>
      </w:r>
      <w:r>
        <w:t>14</w:t>
      </w:r>
      <w:r w:rsidRPr="0009641B">
        <w:t xml:space="preserve"> рік для забезпечення статутної діяльності організацій орієнтовна потреба коштів складає: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360"/>
        <w:gridCol w:w="1832"/>
        <w:gridCol w:w="1620"/>
        <w:gridCol w:w="2700"/>
      </w:tblGrid>
      <w:tr w:rsidR="001B26FB" w:rsidTr="00ED24C2">
        <w:trPr>
          <w:cantSplit/>
          <w:tblHeader/>
        </w:trPr>
        <w:tc>
          <w:tcPr>
            <w:tcW w:w="496" w:type="dxa"/>
            <w:vMerge w:val="restart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Напрямки використання коштів</w:t>
            </w:r>
          </w:p>
        </w:tc>
        <w:tc>
          <w:tcPr>
            <w:tcW w:w="6152" w:type="dxa"/>
            <w:gridSpan w:val="3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організації</w:t>
            </w:r>
          </w:p>
        </w:tc>
      </w:tr>
      <w:tr w:rsidR="001B26FB" w:rsidTr="00ED24C2">
        <w:trPr>
          <w:cantSplit/>
          <w:tblHeader/>
        </w:trPr>
        <w:tc>
          <w:tcPr>
            <w:tcW w:w="496" w:type="dxa"/>
            <w:vMerge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Міськрайонна організація ветеранів війни, праці, Збройних Сил та органів правопорядку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Районна організація інвалідів війни та Збройних сил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Берегівське міськрайонне товариство Закарпатської територіальної організації Української спілки ветеранів Афганістану (воїнів-інтернаціоналістів)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Матеріальна підтримка активістів організації</w:t>
            </w:r>
            <w:r>
              <w:rPr>
                <w:sz w:val="24"/>
                <w:szCs w:val="24"/>
              </w:rPr>
              <w:t xml:space="preserve"> та нарахування </w:t>
            </w:r>
            <w:r w:rsidRPr="00081491">
              <w:rPr>
                <w:sz w:val="24"/>
                <w:szCs w:val="24"/>
              </w:rPr>
              <w:t>на матеріальну підтримку</w:t>
            </w:r>
          </w:p>
        </w:tc>
        <w:tc>
          <w:tcPr>
            <w:tcW w:w="1832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Оплата канцелярських та господарських товарів</w:t>
            </w:r>
          </w:p>
        </w:tc>
        <w:tc>
          <w:tcPr>
            <w:tcW w:w="1832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0,5</w:t>
            </w:r>
          </w:p>
        </w:tc>
      </w:tr>
    </w:tbl>
    <w:p w:rsidR="001B26FB" w:rsidRPr="00ED24C2" w:rsidRDefault="001B26FB" w:rsidP="00ED24C2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 w:type="page"/>
      </w:r>
      <w:r w:rsidRPr="00ED24C2">
        <w:rPr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392"/>
        <w:gridCol w:w="1800"/>
        <w:gridCol w:w="1620"/>
        <w:gridCol w:w="2700"/>
      </w:tblGrid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Оплата послуг зв’язку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Видатки на відрядження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Видатки на оплату комунальних послуг (опалення, електроенергія)</w:t>
            </w:r>
          </w:p>
        </w:tc>
        <w:tc>
          <w:tcPr>
            <w:tcW w:w="1800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1B26FB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Святковий обід з нагоди Дня ветерана та Дня людей похилого віку</w:t>
            </w:r>
          </w:p>
        </w:tc>
        <w:tc>
          <w:tcPr>
            <w:tcW w:w="1800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20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Видатки на проведення 25-ї річниці </w:t>
            </w:r>
            <w:r w:rsidRPr="00081491">
              <w:rPr>
                <w:sz w:val="24"/>
                <w:szCs w:val="24"/>
              </w:rPr>
              <w:t>виведення радянських військ з Афганістану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продовольчих пакетів сім’ям померлих афганців та афганцям-інвалідам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B26FB" w:rsidTr="00ED24C2">
        <w:trPr>
          <w:cantSplit/>
        </w:trPr>
        <w:tc>
          <w:tcPr>
            <w:tcW w:w="496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2" w:type="dxa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Матеріальна допомога інвалідам війни, членам сімей загиблих, учасникам бойових дій, п</w:t>
            </w:r>
            <w:r w:rsidRPr="00081491">
              <w:rPr>
                <w:sz w:val="24"/>
                <w:szCs w:val="24"/>
              </w:rPr>
              <w:t>роведення заходів з нагоди пам’ятних дат: Дня захисника Вітчизни, Дня Перемоги, Дня визволення Закарпаття, Дня ветеранів та люде</w:t>
            </w:r>
            <w:r>
              <w:rPr>
                <w:sz w:val="24"/>
                <w:szCs w:val="24"/>
              </w:rPr>
              <w:t>й похилого віку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6FB" w:rsidTr="00ED24C2">
        <w:trPr>
          <w:cantSplit/>
        </w:trPr>
        <w:tc>
          <w:tcPr>
            <w:tcW w:w="3888" w:type="dxa"/>
            <w:gridSpan w:val="2"/>
            <w:vAlign w:val="center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 w:rsidRPr="00081491">
              <w:rPr>
                <w:sz w:val="24"/>
                <w:szCs w:val="24"/>
              </w:rPr>
              <w:t>Всього</w:t>
            </w:r>
          </w:p>
        </w:tc>
        <w:tc>
          <w:tcPr>
            <w:tcW w:w="1800" w:type="dxa"/>
            <w:vAlign w:val="center"/>
          </w:tcPr>
          <w:p w:rsidR="001B26FB" w:rsidRPr="00081491" w:rsidRDefault="001B26FB" w:rsidP="0081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62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2700" w:type="dxa"/>
            <w:vAlign w:val="center"/>
          </w:tcPr>
          <w:p w:rsidR="001B26FB" w:rsidRPr="00081491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B26FB" w:rsidTr="00ED24C2">
        <w:trPr>
          <w:cantSplit/>
        </w:trPr>
        <w:tc>
          <w:tcPr>
            <w:tcW w:w="3888" w:type="dxa"/>
            <w:gridSpan w:val="2"/>
            <w:vAlign w:val="center"/>
          </w:tcPr>
          <w:p w:rsidR="001B26FB" w:rsidRPr="00081491" w:rsidRDefault="001B26FB" w:rsidP="00CD1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6120" w:type="dxa"/>
            <w:gridSpan w:val="3"/>
            <w:vAlign w:val="center"/>
          </w:tcPr>
          <w:p w:rsidR="001B26FB" w:rsidRDefault="001B26FB" w:rsidP="00C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</w:tbl>
    <w:p w:rsidR="001B26FB" w:rsidRDefault="001B26FB" w:rsidP="00882A70">
      <w:pPr>
        <w:jc w:val="both"/>
      </w:pPr>
    </w:p>
    <w:p w:rsidR="001B26FB" w:rsidRDefault="001B26FB" w:rsidP="00882A70">
      <w:pPr>
        <w:jc w:val="center"/>
        <w:rPr>
          <w:b/>
        </w:rPr>
      </w:pPr>
      <w:r w:rsidRPr="00BA2BBA">
        <w:rPr>
          <w:b/>
        </w:rPr>
        <w:t>Очікувані результати</w:t>
      </w:r>
    </w:p>
    <w:p w:rsidR="001B26FB" w:rsidRPr="00BA2BBA" w:rsidRDefault="001B26FB" w:rsidP="00882A70">
      <w:pPr>
        <w:jc w:val="center"/>
        <w:rPr>
          <w:b/>
        </w:rPr>
      </w:pPr>
    </w:p>
    <w:p w:rsidR="001B26FB" w:rsidRPr="00BA2BBA" w:rsidRDefault="001B26FB" w:rsidP="00882A70">
      <w:pPr>
        <w:ind w:firstLine="567"/>
        <w:jc w:val="both"/>
      </w:pPr>
      <w:r>
        <w:t>1.</w:t>
      </w:r>
      <w:r w:rsidRPr="00BA2BBA">
        <w:t xml:space="preserve"> Підтримка </w:t>
      </w:r>
      <w:r>
        <w:t xml:space="preserve">статутної </w:t>
      </w:r>
      <w:r w:rsidRPr="00BA2BBA">
        <w:t xml:space="preserve">діяльності </w:t>
      </w:r>
      <w:r>
        <w:t>громадських організацій інвалідів та ветеранів району</w:t>
      </w:r>
      <w:r w:rsidRPr="00BA2BBA">
        <w:t xml:space="preserve"> державними органами влади.</w:t>
      </w:r>
    </w:p>
    <w:p w:rsidR="001B26FB" w:rsidRDefault="001B26FB" w:rsidP="00ED24C2">
      <w:pPr>
        <w:ind w:firstLine="540"/>
        <w:jc w:val="both"/>
      </w:pPr>
      <w:r>
        <w:t>2.</w:t>
      </w:r>
      <w:r w:rsidRPr="00BA2BBA">
        <w:t xml:space="preserve"> </w:t>
      </w:r>
      <w:r>
        <w:t xml:space="preserve">Підвищення ролі районної державної адміністрації та органів місцевого самоврядування в </w:t>
      </w:r>
      <w:r w:rsidRPr="00BA2BBA">
        <w:t>реалізаці</w:t>
      </w:r>
      <w:r>
        <w:t>ї</w:t>
      </w:r>
      <w:r w:rsidRPr="00BA2BBA">
        <w:t xml:space="preserve"> державної політики</w:t>
      </w:r>
      <w:r w:rsidRPr="00105F17">
        <w:t xml:space="preserve"> у</w:t>
      </w:r>
      <w:r w:rsidRPr="00BA2BBA">
        <w:t xml:space="preserve"> сфері соціального захисту населення</w:t>
      </w:r>
      <w:r w:rsidRPr="00105F17">
        <w:t>,</w:t>
      </w:r>
      <w:r w:rsidRPr="00BA2BBA">
        <w:t xml:space="preserve"> щодо надання допомоги найбільш</w:t>
      </w:r>
      <w:r>
        <w:t xml:space="preserve"> вразливим</w:t>
      </w:r>
      <w:r w:rsidRPr="00BA2BBA">
        <w:t xml:space="preserve"> верствам населення</w:t>
      </w:r>
      <w:r>
        <w:t xml:space="preserve">. </w:t>
      </w:r>
    </w:p>
    <w:p w:rsidR="001B26FB" w:rsidRDefault="001B26FB" w:rsidP="00ED24C2">
      <w:pPr>
        <w:ind w:firstLine="540"/>
        <w:jc w:val="both"/>
      </w:pPr>
      <w:r>
        <w:t>Головним розпорядником коштів за Програмою є управління соціального захисту населення Берегівської районної державної адміністрації.</w:t>
      </w:r>
    </w:p>
    <w:p w:rsidR="001B26FB" w:rsidRPr="00437F7C" w:rsidRDefault="001B26FB" w:rsidP="00ED24C2">
      <w:pPr>
        <w:ind w:firstLine="540"/>
        <w:jc w:val="both"/>
        <w:rPr>
          <w:b/>
        </w:rPr>
      </w:pPr>
      <w:r>
        <w:t>Виконавцями Програми є відповідні громадські організації інвалідів та ветеранів району.</w:t>
      </w:r>
    </w:p>
    <w:p w:rsidR="001B26FB" w:rsidRPr="00437F7C" w:rsidRDefault="001B26FB" w:rsidP="00ED24C2"/>
    <w:sectPr w:rsidR="001B26FB" w:rsidRPr="00437F7C" w:rsidSect="00ED24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FB" w:rsidRDefault="001B26FB" w:rsidP="002B4417">
      <w:r>
        <w:separator/>
      </w:r>
    </w:p>
  </w:endnote>
  <w:endnote w:type="continuationSeparator" w:id="0">
    <w:p w:rsidR="001B26FB" w:rsidRDefault="001B26FB" w:rsidP="002B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FB" w:rsidRDefault="001B26FB" w:rsidP="002B4417">
      <w:r>
        <w:separator/>
      </w:r>
    </w:p>
  </w:footnote>
  <w:footnote w:type="continuationSeparator" w:id="0">
    <w:p w:rsidR="001B26FB" w:rsidRDefault="001B26FB" w:rsidP="002B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F9F"/>
    <w:multiLevelType w:val="hybridMultilevel"/>
    <w:tmpl w:val="FC0E6C48"/>
    <w:lvl w:ilvl="0" w:tplc="BADACF5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D5BEF"/>
    <w:multiLevelType w:val="hybridMultilevel"/>
    <w:tmpl w:val="03CCF2E6"/>
    <w:lvl w:ilvl="0" w:tplc="586C9A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5D43527"/>
    <w:multiLevelType w:val="hybridMultilevel"/>
    <w:tmpl w:val="CC4E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CF"/>
    <w:rsid w:val="00015841"/>
    <w:rsid w:val="00034E2A"/>
    <w:rsid w:val="00050D18"/>
    <w:rsid w:val="00081491"/>
    <w:rsid w:val="0009641B"/>
    <w:rsid w:val="000B568C"/>
    <w:rsid w:val="000C1647"/>
    <w:rsid w:val="000C7AFA"/>
    <w:rsid w:val="00104381"/>
    <w:rsid w:val="00105F17"/>
    <w:rsid w:val="001137EF"/>
    <w:rsid w:val="00114279"/>
    <w:rsid w:val="00115B8B"/>
    <w:rsid w:val="001169A9"/>
    <w:rsid w:val="00120F35"/>
    <w:rsid w:val="00123325"/>
    <w:rsid w:val="00125A26"/>
    <w:rsid w:val="0015034C"/>
    <w:rsid w:val="00150E0B"/>
    <w:rsid w:val="001737F8"/>
    <w:rsid w:val="001853DE"/>
    <w:rsid w:val="001967A5"/>
    <w:rsid w:val="001A7A24"/>
    <w:rsid w:val="001B26FB"/>
    <w:rsid w:val="001B2BF1"/>
    <w:rsid w:val="001B7352"/>
    <w:rsid w:val="001C6074"/>
    <w:rsid w:val="001E569E"/>
    <w:rsid w:val="001F5EE6"/>
    <w:rsid w:val="00200B2F"/>
    <w:rsid w:val="0020415D"/>
    <w:rsid w:val="00214C94"/>
    <w:rsid w:val="00222A34"/>
    <w:rsid w:val="00234A67"/>
    <w:rsid w:val="00242CEE"/>
    <w:rsid w:val="0024372A"/>
    <w:rsid w:val="002451CD"/>
    <w:rsid w:val="00252439"/>
    <w:rsid w:val="002710E4"/>
    <w:rsid w:val="002905BB"/>
    <w:rsid w:val="002911BA"/>
    <w:rsid w:val="002A4DDA"/>
    <w:rsid w:val="002B4417"/>
    <w:rsid w:val="002C7BB9"/>
    <w:rsid w:val="002F638F"/>
    <w:rsid w:val="00310289"/>
    <w:rsid w:val="00313698"/>
    <w:rsid w:val="00326DE9"/>
    <w:rsid w:val="00353356"/>
    <w:rsid w:val="0037127C"/>
    <w:rsid w:val="00383ECF"/>
    <w:rsid w:val="003B24DD"/>
    <w:rsid w:val="003B556E"/>
    <w:rsid w:val="003B7D88"/>
    <w:rsid w:val="003C2EFE"/>
    <w:rsid w:val="003C5C5A"/>
    <w:rsid w:val="003E4D62"/>
    <w:rsid w:val="00400CC1"/>
    <w:rsid w:val="00401762"/>
    <w:rsid w:val="004130DC"/>
    <w:rsid w:val="00437F7C"/>
    <w:rsid w:val="0045111B"/>
    <w:rsid w:val="004531F7"/>
    <w:rsid w:val="0047255C"/>
    <w:rsid w:val="00472664"/>
    <w:rsid w:val="00487B8B"/>
    <w:rsid w:val="004904F5"/>
    <w:rsid w:val="004917C3"/>
    <w:rsid w:val="004928AC"/>
    <w:rsid w:val="00496057"/>
    <w:rsid w:val="004D3AFD"/>
    <w:rsid w:val="004F7E42"/>
    <w:rsid w:val="00536379"/>
    <w:rsid w:val="0055734E"/>
    <w:rsid w:val="005600E1"/>
    <w:rsid w:val="00562621"/>
    <w:rsid w:val="0058661C"/>
    <w:rsid w:val="005B0C72"/>
    <w:rsid w:val="005B0FF8"/>
    <w:rsid w:val="005B5D96"/>
    <w:rsid w:val="005B6B92"/>
    <w:rsid w:val="00622696"/>
    <w:rsid w:val="0062549F"/>
    <w:rsid w:val="006259F8"/>
    <w:rsid w:val="00627530"/>
    <w:rsid w:val="00634BFE"/>
    <w:rsid w:val="00650605"/>
    <w:rsid w:val="006623D4"/>
    <w:rsid w:val="006639B7"/>
    <w:rsid w:val="006676BE"/>
    <w:rsid w:val="00672829"/>
    <w:rsid w:val="00673527"/>
    <w:rsid w:val="0067460B"/>
    <w:rsid w:val="00676CE3"/>
    <w:rsid w:val="006803CD"/>
    <w:rsid w:val="006834A6"/>
    <w:rsid w:val="00695C93"/>
    <w:rsid w:val="00695D6E"/>
    <w:rsid w:val="006A799E"/>
    <w:rsid w:val="006C3690"/>
    <w:rsid w:val="006D0A34"/>
    <w:rsid w:val="00705DE9"/>
    <w:rsid w:val="00722946"/>
    <w:rsid w:val="007338BE"/>
    <w:rsid w:val="00773DA7"/>
    <w:rsid w:val="007937EA"/>
    <w:rsid w:val="00794E08"/>
    <w:rsid w:val="0079780A"/>
    <w:rsid w:val="007A0E87"/>
    <w:rsid w:val="007B3291"/>
    <w:rsid w:val="007B7539"/>
    <w:rsid w:val="007D2657"/>
    <w:rsid w:val="007D59F9"/>
    <w:rsid w:val="007E46AA"/>
    <w:rsid w:val="00807789"/>
    <w:rsid w:val="00814AF5"/>
    <w:rsid w:val="00827041"/>
    <w:rsid w:val="0084118E"/>
    <w:rsid w:val="008463D4"/>
    <w:rsid w:val="00846ED9"/>
    <w:rsid w:val="0088062F"/>
    <w:rsid w:val="00882A70"/>
    <w:rsid w:val="008902B9"/>
    <w:rsid w:val="00896ED7"/>
    <w:rsid w:val="008A43FA"/>
    <w:rsid w:val="008B513D"/>
    <w:rsid w:val="008D5442"/>
    <w:rsid w:val="008D62AE"/>
    <w:rsid w:val="008F088C"/>
    <w:rsid w:val="009127E7"/>
    <w:rsid w:val="00920182"/>
    <w:rsid w:val="009211E2"/>
    <w:rsid w:val="00923AAE"/>
    <w:rsid w:val="00927600"/>
    <w:rsid w:val="00945ED4"/>
    <w:rsid w:val="0095343B"/>
    <w:rsid w:val="00956815"/>
    <w:rsid w:val="009573A6"/>
    <w:rsid w:val="009652A4"/>
    <w:rsid w:val="00990D8A"/>
    <w:rsid w:val="0099401E"/>
    <w:rsid w:val="009B4E46"/>
    <w:rsid w:val="009D1D09"/>
    <w:rsid w:val="009D281B"/>
    <w:rsid w:val="009D4EFE"/>
    <w:rsid w:val="00A027C6"/>
    <w:rsid w:val="00A21138"/>
    <w:rsid w:val="00A41AFD"/>
    <w:rsid w:val="00A43621"/>
    <w:rsid w:val="00A93F4C"/>
    <w:rsid w:val="00AD28C4"/>
    <w:rsid w:val="00AD692E"/>
    <w:rsid w:val="00AF0ED2"/>
    <w:rsid w:val="00B02E86"/>
    <w:rsid w:val="00B32C79"/>
    <w:rsid w:val="00B46665"/>
    <w:rsid w:val="00B6648F"/>
    <w:rsid w:val="00B96418"/>
    <w:rsid w:val="00BA2BBA"/>
    <w:rsid w:val="00BD0B6E"/>
    <w:rsid w:val="00BD55C0"/>
    <w:rsid w:val="00BD5C89"/>
    <w:rsid w:val="00BE31D5"/>
    <w:rsid w:val="00C04538"/>
    <w:rsid w:val="00C108ED"/>
    <w:rsid w:val="00C1235F"/>
    <w:rsid w:val="00C17C2D"/>
    <w:rsid w:val="00C241C6"/>
    <w:rsid w:val="00C32BF8"/>
    <w:rsid w:val="00C360B1"/>
    <w:rsid w:val="00C517BC"/>
    <w:rsid w:val="00C54C3F"/>
    <w:rsid w:val="00C85E18"/>
    <w:rsid w:val="00C90393"/>
    <w:rsid w:val="00CA4AF2"/>
    <w:rsid w:val="00CC0D59"/>
    <w:rsid w:val="00CD1619"/>
    <w:rsid w:val="00CD3DFA"/>
    <w:rsid w:val="00CD7F17"/>
    <w:rsid w:val="00CE0F2D"/>
    <w:rsid w:val="00CE2C25"/>
    <w:rsid w:val="00CE597A"/>
    <w:rsid w:val="00D05328"/>
    <w:rsid w:val="00D06557"/>
    <w:rsid w:val="00D13591"/>
    <w:rsid w:val="00D602E8"/>
    <w:rsid w:val="00D62528"/>
    <w:rsid w:val="00D716D0"/>
    <w:rsid w:val="00D767A6"/>
    <w:rsid w:val="00D80ACF"/>
    <w:rsid w:val="00D83C8F"/>
    <w:rsid w:val="00D96BC2"/>
    <w:rsid w:val="00DA0076"/>
    <w:rsid w:val="00DB33E2"/>
    <w:rsid w:val="00DB52B0"/>
    <w:rsid w:val="00DC5D1D"/>
    <w:rsid w:val="00DD7E29"/>
    <w:rsid w:val="00DE229A"/>
    <w:rsid w:val="00DE6995"/>
    <w:rsid w:val="00E0795E"/>
    <w:rsid w:val="00E11E8A"/>
    <w:rsid w:val="00E20D13"/>
    <w:rsid w:val="00E3671D"/>
    <w:rsid w:val="00E46A75"/>
    <w:rsid w:val="00E609E8"/>
    <w:rsid w:val="00E87438"/>
    <w:rsid w:val="00E9410F"/>
    <w:rsid w:val="00EA6CE6"/>
    <w:rsid w:val="00EB3417"/>
    <w:rsid w:val="00ED24C2"/>
    <w:rsid w:val="00ED2656"/>
    <w:rsid w:val="00ED76E6"/>
    <w:rsid w:val="00EE7663"/>
    <w:rsid w:val="00EF23A4"/>
    <w:rsid w:val="00F0277D"/>
    <w:rsid w:val="00F12ED2"/>
    <w:rsid w:val="00F30DB0"/>
    <w:rsid w:val="00F55BE0"/>
    <w:rsid w:val="00F63CBE"/>
    <w:rsid w:val="00F64DA3"/>
    <w:rsid w:val="00F659FD"/>
    <w:rsid w:val="00F815CF"/>
    <w:rsid w:val="00F96B19"/>
    <w:rsid w:val="00FA1675"/>
    <w:rsid w:val="00FA27E0"/>
    <w:rsid w:val="00FA6312"/>
    <w:rsid w:val="00FB7352"/>
    <w:rsid w:val="00FC5C4D"/>
    <w:rsid w:val="00FD177A"/>
    <w:rsid w:val="00FD3EE9"/>
    <w:rsid w:val="00FD68DA"/>
    <w:rsid w:val="00FE662A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35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5CF"/>
    <w:pPr>
      <w:keepNext/>
      <w:spacing w:before="240"/>
      <w:ind w:left="567"/>
      <w:outlineLvl w:val="0"/>
    </w:pPr>
    <w:rPr>
      <w:rFonts w:ascii="Antiqua" w:hAnsi="Antiqua"/>
      <w:b/>
      <w:smallCaps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5CF"/>
    <w:rPr>
      <w:rFonts w:ascii="Antiqua" w:hAnsi="Antiqua" w:cs="Times New Roman"/>
      <w:b/>
      <w:smallCaps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15CF"/>
    <w:pPr>
      <w:ind w:firstLine="567"/>
      <w:jc w:val="both"/>
    </w:pPr>
    <w:rPr>
      <w:rFonts w:ascii="Verdana" w:hAnsi="Verdana"/>
      <w:sz w:val="16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15CF"/>
    <w:rPr>
      <w:rFonts w:ascii="Verdana" w:hAnsi="Verdana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F815CF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15CF"/>
    <w:rPr>
      <w:rFonts w:ascii="Times New Roman" w:hAnsi="Times New Roman" w:cs="Times New Roman"/>
      <w:sz w:val="28"/>
      <w:lang w:eastAsia="ru-RU"/>
    </w:rPr>
  </w:style>
  <w:style w:type="paragraph" w:customStyle="1" w:styleId="1">
    <w:name w:val="Абзац списка1"/>
    <w:basedOn w:val="Normal"/>
    <w:uiPriority w:val="99"/>
    <w:rsid w:val="00C9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4417"/>
    <w:pPr>
      <w:tabs>
        <w:tab w:val="center" w:pos="4819"/>
        <w:tab w:val="right" w:pos="9639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41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2B4417"/>
    <w:pPr>
      <w:tabs>
        <w:tab w:val="center" w:pos="4819"/>
        <w:tab w:val="right" w:pos="9639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417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3C8F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C8F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0C7A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TableGrid">
    <w:name w:val="Table Grid"/>
    <w:basedOn w:val="TableNormal"/>
    <w:uiPriority w:val="99"/>
    <w:rsid w:val="00DB33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588</Words>
  <Characters>3357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Admin</cp:lastModifiedBy>
  <cp:revision>10</cp:revision>
  <cp:lastPrinted>2013-11-20T12:59:00Z</cp:lastPrinted>
  <dcterms:created xsi:type="dcterms:W3CDTF">2013-11-14T09:26:00Z</dcterms:created>
  <dcterms:modified xsi:type="dcterms:W3CDTF">2013-12-04T13:17:00Z</dcterms:modified>
</cp:coreProperties>
</file>