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7" w:rsidRDefault="00E47DEE" w:rsidP="00945B17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8150" cy="600075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17" w:rsidRDefault="00945B17" w:rsidP="00945B17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945B17" w:rsidRDefault="00945B17" w:rsidP="00945B1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945B17" w:rsidRDefault="00945B17" w:rsidP="00945B17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945B17" w:rsidRDefault="00945B17" w:rsidP="00945B1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45B17" w:rsidRDefault="00945B17" w:rsidP="00945B17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4"/>
          <w:szCs w:val="28"/>
          <w:lang w:val="uk-UA"/>
        </w:rPr>
      </w:pPr>
    </w:p>
    <w:p w:rsidR="00945B17" w:rsidRDefault="00945B17" w:rsidP="00945B17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462865" w:rsidRPr="00462865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09.04.</w:t>
      </w:r>
      <w:r w:rsidR="00462865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   Берегове                                      №__</w:t>
      </w:r>
      <w:r w:rsidR="00462865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96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945B17" w:rsidRDefault="00945B17" w:rsidP="00945B1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71EF5" w:rsidRPr="00945B17" w:rsidRDefault="00571EF5" w:rsidP="00945B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5B17" w:rsidRPr="00462865" w:rsidRDefault="00571EF5" w:rsidP="00122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945B17">
        <w:rPr>
          <w:rFonts w:ascii="Times New Roman" w:hAnsi="Times New Roman"/>
          <w:b/>
          <w:sz w:val="28"/>
          <w:szCs w:val="28"/>
          <w:lang w:val="uk-UA"/>
        </w:rPr>
        <w:t>ро затвердження про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945B17">
        <w:rPr>
          <w:rFonts w:ascii="Times New Roman" w:hAnsi="Times New Roman"/>
          <w:b/>
          <w:sz w:val="28"/>
          <w:szCs w:val="28"/>
          <w:lang w:val="uk-UA"/>
        </w:rPr>
        <w:t>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945B17" w:rsidRPr="00462865" w:rsidRDefault="00571EF5" w:rsidP="0012261F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земельних 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ділян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цільове 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призначення</w:t>
      </w:r>
    </w:p>
    <w:p w:rsidR="0012261F" w:rsidRPr="00462865" w:rsidRDefault="00571EF5" w:rsidP="0012261F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яких змінюється</w:t>
      </w:r>
    </w:p>
    <w:p w:rsidR="0012261F" w:rsidRPr="00462865" w:rsidRDefault="0012261F" w:rsidP="0012261F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EF5" w:rsidRPr="0012261F" w:rsidRDefault="0012261F" w:rsidP="00122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865">
        <w:rPr>
          <w:rFonts w:ascii="Times New Roman" w:hAnsi="Times New Roman"/>
          <w:sz w:val="28"/>
          <w:szCs w:val="28"/>
          <w:lang w:val="uk-UA"/>
        </w:rPr>
        <w:tab/>
      </w:r>
      <w:r w:rsidR="00571EF5"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статті 30 Закону України „Про землеустрій”, статті 20 Земельного кодексу України, розглянувши заяви громадянки  Трикур Інни Львівни та подані нею матеріали проєктів землеустрою:</w:t>
      </w:r>
    </w:p>
    <w:p w:rsidR="00945B17" w:rsidRPr="00462865" w:rsidRDefault="00945B17" w:rsidP="00945B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B17" w:rsidRPr="0012261F" w:rsidRDefault="00571EF5" w:rsidP="00945B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проєкти землеустрою щодо відведення земельних ділянок    за межами населених пунктів на території Великобийганської (колишня Дийдянська)</w:t>
      </w:r>
      <w:r w:rsidR="00945B17" w:rsidRPr="0012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 Берегівського району Закарпатської області, цільове призначення яких змінюється із земель для ведення особистого селянського господарства (КВЦПЗ – 01.03) у землі для розміщення, будівництва, експлуатації та обслуговування будівель і споруд об’єктів енергозберігаючих підприємств, установ і орган</w:t>
      </w:r>
      <w:r w:rsidR="00945B17">
        <w:rPr>
          <w:rFonts w:ascii="Times New Roman" w:hAnsi="Times New Roman"/>
          <w:sz w:val="28"/>
          <w:szCs w:val="28"/>
          <w:lang w:val="uk-UA"/>
        </w:rPr>
        <w:t>ізацій (КВЦПЗ – 14.01):</w:t>
      </w:r>
    </w:p>
    <w:p w:rsidR="00571EF5" w:rsidRDefault="00571EF5" w:rsidP="00945B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2120483600:02:000:0904 площею </w:t>
      </w:r>
      <w:smartTag w:uri="urn:schemas-microsoft-com:office:smarttags" w:element="metricconverter">
        <w:smartTagPr>
          <w:attr w:name="ProductID" w:val="2,0 га"/>
        </w:smartTagPr>
        <w:r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1EF5" w:rsidRDefault="00571EF5" w:rsidP="00945B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2120483600:02:000:0905 площею </w:t>
      </w:r>
      <w:smartTag w:uri="urn:schemas-microsoft-com:office:smarttags" w:element="metricconverter">
        <w:smartTagPr>
          <w:attr w:name="ProductID" w:val="2,0939 га"/>
        </w:smartTagPr>
        <w:r>
          <w:rPr>
            <w:rFonts w:ascii="Times New Roman" w:hAnsi="Times New Roman"/>
            <w:sz w:val="28"/>
            <w:szCs w:val="28"/>
            <w:lang w:val="uk-UA"/>
          </w:rPr>
          <w:t>2,0939 га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1EF5" w:rsidRDefault="00945B17" w:rsidP="00945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61F">
        <w:rPr>
          <w:rFonts w:ascii="Times New Roman" w:hAnsi="Times New Roman"/>
          <w:sz w:val="28"/>
          <w:szCs w:val="28"/>
        </w:rPr>
        <w:tab/>
      </w:r>
      <w:r w:rsidR="00571EF5">
        <w:rPr>
          <w:rFonts w:ascii="Times New Roman" w:hAnsi="Times New Roman"/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Данич Є.В</w:t>
      </w:r>
      <w:bookmarkStart w:id="0" w:name="_GoBack"/>
      <w:bookmarkEnd w:id="0"/>
      <w:r w:rsidR="00571E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71EF5" w:rsidRPr="0012261F" w:rsidRDefault="00571EF5" w:rsidP="0094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17" w:rsidRPr="0012261F" w:rsidRDefault="00945B17" w:rsidP="0094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17" w:rsidRPr="0012261F" w:rsidRDefault="00945B17" w:rsidP="0094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EF5" w:rsidRPr="00B754F0" w:rsidRDefault="00571EF5" w:rsidP="00945B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B754F0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B754F0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945B17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571EF5" w:rsidRPr="00B754F0" w:rsidSect="00945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089"/>
    <w:rsid w:val="00074DD7"/>
    <w:rsid w:val="000B14A7"/>
    <w:rsid w:val="000B2BA3"/>
    <w:rsid w:val="001169B9"/>
    <w:rsid w:val="0012261F"/>
    <w:rsid w:val="001E2A30"/>
    <w:rsid w:val="00313701"/>
    <w:rsid w:val="003876DD"/>
    <w:rsid w:val="003E3089"/>
    <w:rsid w:val="004328A7"/>
    <w:rsid w:val="00462865"/>
    <w:rsid w:val="00522931"/>
    <w:rsid w:val="005567E5"/>
    <w:rsid w:val="00571EF5"/>
    <w:rsid w:val="005A6736"/>
    <w:rsid w:val="005C6B67"/>
    <w:rsid w:val="00623525"/>
    <w:rsid w:val="006A1423"/>
    <w:rsid w:val="00747CD6"/>
    <w:rsid w:val="007E7BB7"/>
    <w:rsid w:val="00943C52"/>
    <w:rsid w:val="00945B17"/>
    <w:rsid w:val="00A54CD3"/>
    <w:rsid w:val="00AA6169"/>
    <w:rsid w:val="00B754F0"/>
    <w:rsid w:val="00C25E0D"/>
    <w:rsid w:val="00DA63CC"/>
    <w:rsid w:val="00E249C6"/>
    <w:rsid w:val="00E47DEE"/>
    <w:rsid w:val="00EC777B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3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45B1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45B17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2021-03-29T12:26:00Z</cp:lastPrinted>
  <dcterms:created xsi:type="dcterms:W3CDTF">2021-07-20T06:46:00Z</dcterms:created>
  <dcterms:modified xsi:type="dcterms:W3CDTF">2021-07-20T06:46:00Z</dcterms:modified>
</cp:coreProperties>
</file>